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C852" w14:textId="13D47F8F" w:rsidR="001F413B" w:rsidRDefault="00970A38" w:rsidP="001F413B">
      <w:pPr>
        <w:ind w:hanging="142"/>
        <w:rPr>
          <w:rFonts w:cs="Verdana"/>
          <w:szCs w:val="22"/>
        </w:rPr>
      </w:pPr>
      <w:r w:rsidRPr="006C1EBC">
        <w:rPr>
          <w:rFonts w:cs="Verdana"/>
          <w:noProof/>
          <w:szCs w:val="22"/>
        </w:rPr>
        <w:drawing>
          <wp:inline distT="0" distB="0" distL="0" distR="0" wp14:anchorId="3DA18BF1" wp14:editId="70817B9D">
            <wp:extent cx="3968750" cy="40640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27ABCEC7"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AB9AAB0" w14:textId="77777777" w:rsidTr="00DD37E9">
        <w:tblPrEx>
          <w:tblCellMar>
            <w:top w:w="0" w:type="dxa"/>
            <w:bottom w:w="0" w:type="dxa"/>
          </w:tblCellMar>
        </w:tblPrEx>
        <w:trPr>
          <w:cantSplit/>
          <w:trHeight w:val="659"/>
        </w:trPr>
        <w:tc>
          <w:tcPr>
            <w:tcW w:w="9356" w:type="dxa"/>
            <w:shd w:val="clear" w:color="auto" w:fill="auto"/>
          </w:tcPr>
          <w:p w14:paraId="05286BBB" w14:textId="77777777" w:rsidR="0004625F" w:rsidRPr="00CE31FA" w:rsidRDefault="00DD37E9" w:rsidP="00B74C3E">
            <w:pPr>
              <w:spacing w:before="120"/>
              <w:ind w:left="-108" w:right="34"/>
              <w:rPr>
                <w:rFonts w:ascii="Arial" w:hAnsi="Arial" w:cs="Arial"/>
                <w:b/>
                <w:color w:val="000000"/>
                <w:sz w:val="40"/>
                <w:szCs w:val="40"/>
              </w:rPr>
            </w:pPr>
            <w:bookmarkStart w:id="0" w:name="bmkTable00"/>
            <w:bookmarkEnd w:id="0"/>
            <w:r w:rsidRPr="00CE31FA">
              <w:rPr>
                <w:rFonts w:ascii="Arial" w:hAnsi="Arial" w:cs="Arial"/>
                <w:b/>
                <w:color w:val="000000"/>
                <w:sz w:val="40"/>
                <w:szCs w:val="40"/>
              </w:rPr>
              <w:t>Appeal Decision</w:t>
            </w:r>
          </w:p>
        </w:tc>
      </w:tr>
      <w:tr w:rsidR="0004625F" w:rsidRPr="00CE31FA" w14:paraId="45A6153D" w14:textId="77777777" w:rsidTr="00DD37E9">
        <w:tblPrEx>
          <w:tblCellMar>
            <w:top w:w="0" w:type="dxa"/>
            <w:bottom w:w="0" w:type="dxa"/>
          </w:tblCellMar>
        </w:tblPrEx>
        <w:trPr>
          <w:cantSplit/>
          <w:trHeight w:val="374"/>
        </w:trPr>
        <w:tc>
          <w:tcPr>
            <w:tcW w:w="9356" w:type="dxa"/>
            <w:shd w:val="clear" w:color="auto" w:fill="auto"/>
          </w:tcPr>
          <w:p w14:paraId="6A2C6EDD" w14:textId="77777777" w:rsidR="0004625F" w:rsidRPr="00CE31FA" w:rsidRDefault="00DD37E9" w:rsidP="00DD37E9">
            <w:pPr>
              <w:spacing w:before="180"/>
              <w:ind w:left="-108" w:right="34"/>
              <w:rPr>
                <w:rFonts w:ascii="Arial" w:hAnsi="Arial" w:cs="Arial"/>
                <w:b/>
                <w:color w:val="000000"/>
                <w:sz w:val="16"/>
                <w:szCs w:val="22"/>
              </w:rPr>
            </w:pPr>
            <w:r w:rsidRPr="00CE31FA">
              <w:rPr>
                <w:rFonts w:ascii="Arial" w:hAnsi="Arial" w:cs="Arial"/>
                <w:b/>
                <w:color w:val="000000"/>
                <w:szCs w:val="22"/>
              </w:rPr>
              <w:t xml:space="preserve">by </w:t>
            </w:r>
            <w:r w:rsidR="00CE31FA">
              <w:rPr>
                <w:rFonts w:ascii="Arial" w:hAnsi="Arial" w:cs="Arial"/>
                <w:b/>
                <w:color w:val="000000"/>
                <w:szCs w:val="22"/>
              </w:rPr>
              <w:t>Nigel Farthing LLB</w:t>
            </w:r>
            <w:r w:rsidR="00A17333" w:rsidRPr="00CE31FA">
              <w:rPr>
                <w:rFonts w:ascii="Arial" w:hAnsi="Arial" w:cs="Arial"/>
                <w:b/>
                <w:color w:val="000000"/>
                <w:szCs w:val="22"/>
              </w:rPr>
              <w:t xml:space="preserve"> </w:t>
            </w:r>
          </w:p>
        </w:tc>
      </w:tr>
      <w:tr w:rsidR="0004625F" w:rsidRPr="00CE31FA" w14:paraId="2B5E0EED" w14:textId="77777777" w:rsidTr="00DD37E9">
        <w:tblPrEx>
          <w:tblCellMar>
            <w:top w:w="0" w:type="dxa"/>
            <w:bottom w:w="0" w:type="dxa"/>
          </w:tblCellMar>
        </w:tblPrEx>
        <w:trPr>
          <w:cantSplit/>
          <w:trHeight w:val="357"/>
        </w:trPr>
        <w:tc>
          <w:tcPr>
            <w:tcW w:w="9356" w:type="dxa"/>
            <w:shd w:val="clear" w:color="auto" w:fill="auto"/>
          </w:tcPr>
          <w:p w14:paraId="0F898FCB" w14:textId="77777777" w:rsidR="0004625F" w:rsidRPr="00CE31FA" w:rsidRDefault="00DD37E9" w:rsidP="0069559D">
            <w:pPr>
              <w:spacing w:before="120"/>
              <w:ind w:left="-108" w:right="34"/>
              <w:rPr>
                <w:rFonts w:ascii="Arial" w:hAnsi="Arial" w:cs="Arial"/>
                <w:b/>
                <w:color w:val="000000"/>
                <w:sz w:val="16"/>
                <w:szCs w:val="16"/>
              </w:rPr>
            </w:pPr>
            <w:r w:rsidRPr="00CE31FA">
              <w:rPr>
                <w:rFonts w:ascii="Arial" w:hAnsi="Arial" w:cs="Arial"/>
                <w:b/>
                <w:color w:val="000000"/>
                <w:sz w:val="16"/>
                <w:szCs w:val="16"/>
              </w:rPr>
              <w:t xml:space="preserve">an Inspector </w:t>
            </w:r>
            <w:r w:rsidR="007277A3" w:rsidRPr="00CE31FA">
              <w:rPr>
                <w:rFonts w:ascii="Arial" w:hAnsi="Arial" w:cs="Arial"/>
                <w:b/>
                <w:color w:val="000000"/>
                <w:sz w:val="16"/>
                <w:szCs w:val="16"/>
              </w:rPr>
              <w:t>on direction of</w:t>
            </w:r>
            <w:r w:rsidRPr="00CE31FA">
              <w:rPr>
                <w:rFonts w:ascii="Arial" w:hAnsi="Arial" w:cs="Arial"/>
                <w:b/>
                <w:color w:val="000000"/>
                <w:sz w:val="16"/>
                <w:szCs w:val="16"/>
              </w:rPr>
              <w:t xml:space="preserve"> the Secretary of State for Environment, Food and Rural Affairs</w:t>
            </w:r>
          </w:p>
        </w:tc>
      </w:tr>
      <w:tr w:rsidR="0004625F" w:rsidRPr="00CE31FA" w14:paraId="1791BD71" w14:textId="77777777" w:rsidTr="00DD37E9">
        <w:tblPrEx>
          <w:tblCellMar>
            <w:top w:w="0" w:type="dxa"/>
            <w:bottom w:w="0" w:type="dxa"/>
          </w:tblCellMar>
        </w:tblPrEx>
        <w:trPr>
          <w:cantSplit/>
          <w:trHeight w:val="335"/>
        </w:trPr>
        <w:tc>
          <w:tcPr>
            <w:tcW w:w="9356" w:type="dxa"/>
            <w:shd w:val="clear" w:color="auto" w:fill="auto"/>
          </w:tcPr>
          <w:p w14:paraId="526F6C12" w14:textId="2B600668" w:rsidR="0004625F" w:rsidRPr="00CE31FA" w:rsidRDefault="0004625F" w:rsidP="001E5F71">
            <w:pPr>
              <w:spacing w:before="120"/>
              <w:ind w:left="-108" w:right="176"/>
              <w:rPr>
                <w:rFonts w:ascii="Arial" w:hAnsi="Arial" w:cs="Arial"/>
                <w:b/>
                <w:color w:val="000000"/>
                <w:sz w:val="16"/>
                <w:szCs w:val="16"/>
              </w:rPr>
            </w:pPr>
            <w:r w:rsidRPr="00CE31FA">
              <w:rPr>
                <w:rFonts w:ascii="Arial" w:hAnsi="Arial" w:cs="Arial"/>
                <w:b/>
                <w:color w:val="000000"/>
                <w:sz w:val="16"/>
                <w:szCs w:val="16"/>
              </w:rPr>
              <w:t>Decision date:</w:t>
            </w:r>
            <w:r w:rsidR="00F80762" w:rsidRPr="00CE31FA">
              <w:rPr>
                <w:rFonts w:ascii="Arial" w:hAnsi="Arial" w:cs="Arial"/>
                <w:b/>
                <w:color w:val="000000"/>
                <w:sz w:val="16"/>
                <w:szCs w:val="16"/>
              </w:rPr>
              <w:t xml:space="preserve"> </w:t>
            </w:r>
            <w:r w:rsidR="00C93A9F" w:rsidRPr="00CE31FA">
              <w:rPr>
                <w:rFonts w:ascii="Arial" w:hAnsi="Arial" w:cs="Arial"/>
                <w:b/>
                <w:color w:val="000000"/>
                <w:sz w:val="16"/>
                <w:szCs w:val="16"/>
              </w:rPr>
              <w:t xml:space="preserve"> </w:t>
            </w:r>
            <w:r w:rsidR="00FC7F0B">
              <w:rPr>
                <w:rFonts w:ascii="Arial" w:hAnsi="Arial" w:cs="Arial"/>
                <w:b/>
                <w:color w:val="000000"/>
                <w:sz w:val="16"/>
                <w:szCs w:val="16"/>
              </w:rPr>
              <w:t>04 January 2024</w:t>
            </w:r>
          </w:p>
        </w:tc>
      </w:tr>
    </w:tbl>
    <w:p w14:paraId="4D1D55CB" w14:textId="77777777" w:rsidR="00DD37E9" w:rsidRPr="00CE31FA" w:rsidRDefault="00DD37E9">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DD37E9" w:rsidRPr="00CE31FA" w14:paraId="02FF2FE5" w14:textId="77777777" w:rsidTr="00DD37E9">
        <w:tblPrEx>
          <w:tblCellMar>
            <w:top w:w="0" w:type="dxa"/>
            <w:bottom w:w="0" w:type="dxa"/>
          </w:tblCellMar>
        </w:tblPrEx>
        <w:tc>
          <w:tcPr>
            <w:tcW w:w="9520" w:type="dxa"/>
            <w:shd w:val="clear" w:color="auto" w:fill="auto"/>
          </w:tcPr>
          <w:p w14:paraId="797119FE" w14:textId="77777777" w:rsidR="00DD37E9" w:rsidRPr="00CE31FA" w:rsidRDefault="00C5189E" w:rsidP="00C16168">
            <w:pPr>
              <w:spacing w:after="60"/>
              <w:rPr>
                <w:rFonts w:ascii="Arial" w:hAnsi="Arial" w:cs="Arial"/>
                <w:b/>
                <w:color w:val="000000"/>
              </w:rPr>
            </w:pPr>
            <w:r w:rsidRPr="00CE31FA">
              <w:rPr>
                <w:rFonts w:ascii="Arial" w:hAnsi="Arial" w:cs="Arial"/>
                <w:b/>
                <w:color w:val="000000"/>
              </w:rPr>
              <w:t>Appeal</w:t>
            </w:r>
            <w:r w:rsidR="00DD37E9" w:rsidRPr="00CE31FA">
              <w:rPr>
                <w:rFonts w:ascii="Arial" w:hAnsi="Arial" w:cs="Arial"/>
                <w:b/>
                <w:color w:val="000000"/>
              </w:rPr>
              <w:t xml:space="preserve"> Ref: </w:t>
            </w:r>
            <w:r w:rsidR="00FF0129">
              <w:rPr>
                <w:rFonts w:ascii="Arial" w:hAnsi="Arial" w:cs="Arial"/>
                <w:b/>
                <w:color w:val="000000"/>
              </w:rPr>
              <w:t>ROW/3325911</w:t>
            </w:r>
          </w:p>
        </w:tc>
      </w:tr>
      <w:tr w:rsidR="00DD37E9" w:rsidRPr="00CE31FA" w14:paraId="471B4A35" w14:textId="77777777" w:rsidTr="00DD37E9">
        <w:tblPrEx>
          <w:tblCellMar>
            <w:top w:w="0" w:type="dxa"/>
            <w:bottom w:w="0" w:type="dxa"/>
          </w:tblCellMar>
        </w:tblPrEx>
        <w:tc>
          <w:tcPr>
            <w:tcW w:w="9520" w:type="dxa"/>
            <w:shd w:val="clear" w:color="auto" w:fill="auto"/>
          </w:tcPr>
          <w:p w14:paraId="12DD192B" w14:textId="77777777" w:rsidR="00DD37E9" w:rsidRPr="00CE31FA" w:rsidRDefault="00DD37E9" w:rsidP="00C16168">
            <w:pPr>
              <w:pStyle w:val="TBullet"/>
              <w:rPr>
                <w:rFonts w:ascii="Arial" w:hAnsi="Arial" w:cs="Arial"/>
              </w:rPr>
            </w:pPr>
            <w:r w:rsidRPr="00CE31FA">
              <w:rPr>
                <w:rFonts w:ascii="Arial" w:hAnsi="Arial" w:cs="Arial"/>
              </w:rPr>
              <w:t>Th</w:t>
            </w:r>
            <w:r w:rsidR="00B74C3E" w:rsidRPr="00CE31FA">
              <w:rPr>
                <w:rFonts w:ascii="Arial" w:hAnsi="Arial" w:cs="Arial"/>
              </w:rPr>
              <w:t>i</w:t>
            </w:r>
            <w:r w:rsidRPr="00CE31FA">
              <w:rPr>
                <w:rFonts w:ascii="Arial" w:hAnsi="Arial" w:cs="Arial"/>
              </w:rPr>
              <w:t xml:space="preserve">s </w:t>
            </w:r>
            <w:r w:rsidR="00CF154B" w:rsidRPr="00CE31FA">
              <w:rPr>
                <w:rFonts w:ascii="Arial" w:hAnsi="Arial" w:cs="Arial"/>
              </w:rPr>
              <w:t>a</w:t>
            </w:r>
            <w:r w:rsidRPr="00CE31FA">
              <w:rPr>
                <w:rFonts w:ascii="Arial" w:hAnsi="Arial" w:cs="Arial"/>
              </w:rPr>
              <w:t>ppeal</w:t>
            </w:r>
            <w:r w:rsidR="00B74C3E" w:rsidRPr="00CE31FA">
              <w:rPr>
                <w:rFonts w:ascii="Arial" w:hAnsi="Arial" w:cs="Arial"/>
              </w:rPr>
              <w:t xml:space="preserve"> i</w:t>
            </w:r>
            <w:r w:rsidR="00E11792" w:rsidRPr="00CE31FA">
              <w:rPr>
                <w:rFonts w:ascii="Arial" w:hAnsi="Arial" w:cs="Arial"/>
              </w:rPr>
              <w:t>s</w:t>
            </w:r>
            <w:r w:rsidRPr="00CE31FA">
              <w:rPr>
                <w:rFonts w:ascii="Arial" w:hAnsi="Arial" w:cs="Arial"/>
              </w:rPr>
              <w:t xml:space="preserve"> made under Section 53(5) and Paragraph 4(1) of </w:t>
            </w:r>
            <w:r w:rsidR="00B925A5" w:rsidRPr="00CE31FA">
              <w:rPr>
                <w:rFonts w:ascii="Arial" w:hAnsi="Arial" w:cs="Arial"/>
              </w:rPr>
              <w:t>Schedule</w:t>
            </w:r>
            <w:r w:rsidRPr="00CE31FA">
              <w:rPr>
                <w:rFonts w:ascii="Arial" w:hAnsi="Arial" w:cs="Arial"/>
              </w:rPr>
              <w:t xml:space="preserve"> 14 o</w:t>
            </w:r>
            <w:r w:rsidR="00DE33EB" w:rsidRPr="00CE31FA">
              <w:rPr>
                <w:rFonts w:ascii="Arial" w:hAnsi="Arial" w:cs="Arial"/>
              </w:rPr>
              <w:t>f</w:t>
            </w:r>
            <w:r w:rsidRPr="00CE31FA">
              <w:rPr>
                <w:rFonts w:ascii="Arial" w:hAnsi="Arial" w:cs="Arial"/>
              </w:rPr>
              <w:t xml:space="preserve"> the Wildlife and Countryside Act 1981 </w:t>
            </w:r>
            <w:r w:rsidR="0041539C" w:rsidRPr="00CE31FA">
              <w:rPr>
                <w:rFonts w:ascii="Arial" w:hAnsi="Arial" w:cs="Arial"/>
              </w:rPr>
              <w:t>against the d</w:t>
            </w:r>
            <w:r w:rsidR="002C6E5C" w:rsidRPr="00CE31FA">
              <w:rPr>
                <w:rFonts w:ascii="Arial" w:hAnsi="Arial" w:cs="Arial"/>
              </w:rPr>
              <w:t xml:space="preserve">ecision of </w:t>
            </w:r>
            <w:r w:rsidR="00406936">
              <w:rPr>
                <w:rFonts w:ascii="Arial" w:hAnsi="Arial" w:cs="Arial"/>
              </w:rPr>
              <w:t>Staffordshire</w:t>
            </w:r>
            <w:r w:rsidR="00C16168" w:rsidRPr="00CE31FA">
              <w:rPr>
                <w:rFonts w:ascii="Arial" w:hAnsi="Arial" w:cs="Arial"/>
              </w:rPr>
              <w:t xml:space="preserve"> County</w:t>
            </w:r>
            <w:r w:rsidR="00B74C3E" w:rsidRPr="00CE31FA">
              <w:rPr>
                <w:rFonts w:ascii="Arial" w:hAnsi="Arial" w:cs="Arial"/>
              </w:rPr>
              <w:t xml:space="preserve"> </w:t>
            </w:r>
            <w:r w:rsidR="00B925A5" w:rsidRPr="00CE31FA">
              <w:rPr>
                <w:rFonts w:ascii="Arial" w:hAnsi="Arial" w:cs="Arial"/>
              </w:rPr>
              <w:t>Council</w:t>
            </w:r>
            <w:r w:rsidR="003861E4" w:rsidRPr="00CE31FA">
              <w:rPr>
                <w:rFonts w:ascii="Arial" w:hAnsi="Arial" w:cs="Arial"/>
              </w:rPr>
              <w:t xml:space="preserve"> </w:t>
            </w:r>
            <w:r w:rsidR="00406936">
              <w:rPr>
                <w:rFonts w:ascii="Arial" w:hAnsi="Arial" w:cs="Arial"/>
              </w:rPr>
              <w:t xml:space="preserve">(SCC) </w:t>
            </w:r>
            <w:r w:rsidR="003861E4" w:rsidRPr="00CE31FA">
              <w:rPr>
                <w:rFonts w:ascii="Arial" w:hAnsi="Arial" w:cs="Arial"/>
              </w:rPr>
              <w:t xml:space="preserve">not to make </w:t>
            </w:r>
            <w:r w:rsidR="00B74C3E" w:rsidRPr="00CE31FA">
              <w:rPr>
                <w:rFonts w:ascii="Arial" w:hAnsi="Arial" w:cs="Arial"/>
              </w:rPr>
              <w:t xml:space="preserve">an </w:t>
            </w:r>
            <w:r w:rsidR="003861E4" w:rsidRPr="00CE31FA">
              <w:rPr>
                <w:rFonts w:ascii="Arial" w:hAnsi="Arial" w:cs="Arial"/>
              </w:rPr>
              <w:t>o</w:t>
            </w:r>
            <w:r w:rsidR="0041539C" w:rsidRPr="00CE31FA">
              <w:rPr>
                <w:rFonts w:ascii="Arial" w:hAnsi="Arial" w:cs="Arial"/>
              </w:rPr>
              <w:t xml:space="preserve">rder under </w:t>
            </w:r>
            <w:r w:rsidR="00AA7D22" w:rsidRPr="00CE31FA">
              <w:rPr>
                <w:rFonts w:ascii="Arial" w:hAnsi="Arial" w:cs="Arial"/>
              </w:rPr>
              <w:t>S</w:t>
            </w:r>
            <w:r w:rsidR="0041539C" w:rsidRPr="00CE31FA">
              <w:rPr>
                <w:rFonts w:ascii="Arial" w:hAnsi="Arial" w:cs="Arial"/>
              </w:rPr>
              <w:t>ection 53(2) of that Act.</w:t>
            </w:r>
          </w:p>
        </w:tc>
      </w:tr>
      <w:tr w:rsidR="00DD37E9" w:rsidRPr="00CE31FA" w14:paraId="3A56064B" w14:textId="77777777" w:rsidTr="00DD37E9">
        <w:tblPrEx>
          <w:tblCellMar>
            <w:top w:w="0" w:type="dxa"/>
            <w:bottom w:w="0" w:type="dxa"/>
          </w:tblCellMar>
        </w:tblPrEx>
        <w:tc>
          <w:tcPr>
            <w:tcW w:w="9520" w:type="dxa"/>
            <w:shd w:val="clear" w:color="auto" w:fill="auto"/>
          </w:tcPr>
          <w:p w14:paraId="7CFABDF3" w14:textId="77777777" w:rsidR="00917447" w:rsidRPr="00CE31FA" w:rsidRDefault="0066025C" w:rsidP="00BE3467">
            <w:pPr>
              <w:pStyle w:val="TBullet"/>
              <w:spacing w:before="60"/>
              <w:ind w:left="357" w:hanging="357"/>
              <w:rPr>
                <w:rFonts w:ascii="Arial" w:hAnsi="Arial" w:cs="Arial"/>
              </w:rPr>
            </w:pPr>
            <w:r w:rsidRPr="00CE31FA">
              <w:rPr>
                <w:rFonts w:ascii="Arial" w:hAnsi="Arial" w:cs="Arial"/>
              </w:rPr>
              <w:t>By</w:t>
            </w:r>
            <w:r w:rsidR="00DD37E9" w:rsidRPr="00CE31FA">
              <w:rPr>
                <w:rFonts w:ascii="Arial" w:hAnsi="Arial" w:cs="Arial"/>
              </w:rPr>
              <w:t xml:space="preserve"> </w:t>
            </w:r>
            <w:r w:rsidRPr="00CE31FA">
              <w:rPr>
                <w:rFonts w:ascii="Arial" w:hAnsi="Arial" w:cs="Arial"/>
              </w:rPr>
              <w:t>a</w:t>
            </w:r>
            <w:r w:rsidR="0041539C" w:rsidRPr="00CE31FA">
              <w:rPr>
                <w:rFonts w:ascii="Arial" w:hAnsi="Arial" w:cs="Arial"/>
              </w:rPr>
              <w:t xml:space="preserve">pplication </w:t>
            </w:r>
            <w:r w:rsidR="00917447" w:rsidRPr="00CE31FA">
              <w:rPr>
                <w:rFonts w:ascii="Arial" w:hAnsi="Arial" w:cs="Arial"/>
              </w:rPr>
              <w:t>d</w:t>
            </w:r>
            <w:r w:rsidR="00FF0129">
              <w:rPr>
                <w:rFonts w:ascii="Arial" w:hAnsi="Arial" w:cs="Arial"/>
              </w:rPr>
              <w:t>ated 22 June 1990 Cheddleton Parish Council</w:t>
            </w:r>
            <w:r w:rsidR="00E37272" w:rsidRPr="00CE31FA">
              <w:rPr>
                <w:rFonts w:ascii="Arial" w:hAnsi="Arial" w:cs="Arial"/>
              </w:rPr>
              <w:t xml:space="preserve"> </w:t>
            </w:r>
            <w:r w:rsidR="00406936">
              <w:rPr>
                <w:rFonts w:ascii="Arial" w:hAnsi="Arial" w:cs="Arial"/>
              </w:rPr>
              <w:t xml:space="preserve">(the Applicant) </w:t>
            </w:r>
            <w:r w:rsidRPr="00CE31FA">
              <w:rPr>
                <w:rFonts w:ascii="Arial" w:hAnsi="Arial" w:cs="Arial"/>
              </w:rPr>
              <w:t>claimed that</w:t>
            </w:r>
            <w:r w:rsidR="007D498B" w:rsidRPr="00CE31FA">
              <w:rPr>
                <w:rFonts w:ascii="Arial" w:hAnsi="Arial" w:cs="Arial"/>
              </w:rPr>
              <w:t xml:space="preserve"> </w:t>
            </w:r>
            <w:r w:rsidR="00FF0129">
              <w:rPr>
                <w:rFonts w:ascii="Arial" w:hAnsi="Arial" w:cs="Arial"/>
              </w:rPr>
              <w:t>evidence had been discovered which (when considered with all other relevant evidence available) shows that a right of way which is not shown on</w:t>
            </w:r>
            <w:r w:rsidRPr="00CE31FA">
              <w:rPr>
                <w:rFonts w:ascii="Arial" w:hAnsi="Arial" w:cs="Arial"/>
              </w:rPr>
              <w:t xml:space="preserve"> the definitive map </w:t>
            </w:r>
            <w:r w:rsidR="00E11792" w:rsidRPr="00CE31FA">
              <w:rPr>
                <w:rFonts w:ascii="Arial" w:hAnsi="Arial" w:cs="Arial"/>
              </w:rPr>
              <w:t>and</w:t>
            </w:r>
            <w:r w:rsidRPr="00CE31FA">
              <w:rPr>
                <w:rFonts w:ascii="Arial" w:hAnsi="Arial" w:cs="Arial"/>
              </w:rPr>
              <w:t xml:space="preserve"> statement </w:t>
            </w:r>
            <w:r w:rsidR="00FF0129">
              <w:rPr>
                <w:rFonts w:ascii="Arial" w:hAnsi="Arial" w:cs="Arial"/>
              </w:rPr>
              <w:t>(DMS) subsists or is reasonably alleged to subsist over land in the area to which the map relates</w:t>
            </w:r>
            <w:r w:rsidRPr="00CE31FA">
              <w:rPr>
                <w:rFonts w:ascii="Arial" w:hAnsi="Arial" w:cs="Arial"/>
              </w:rPr>
              <w:t xml:space="preserve">. </w:t>
            </w:r>
          </w:p>
        </w:tc>
      </w:tr>
      <w:tr w:rsidR="00CB6561" w:rsidRPr="00CE31FA" w14:paraId="3543FB35" w14:textId="77777777" w:rsidTr="00DD37E9">
        <w:tblPrEx>
          <w:tblCellMar>
            <w:top w:w="0" w:type="dxa"/>
            <w:bottom w:w="0" w:type="dxa"/>
          </w:tblCellMar>
        </w:tblPrEx>
        <w:tc>
          <w:tcPr>
            <w:tcW w:w="9520" w:type="dxa"/>
            <w:shd w:val="clear" w:color="auto" w:fill="auto"/>
          </w:tcPr>
          <w:p w14:paraId="113C3E32" w14:textId="77777777" w:rsidR="00CB6561" w:rsidRDefault="00CB6561" w:rsidP="00E73A3C">
            <w:pPr>
              <w:pStyle w:val="TBullet"/>
              <w:spacing w:before="60"/>
              <w:ind w:left="357" w:hanging="357"/>
              <w:rPr>
                <w:rFonts w:ascii="Arial" w:hAnsi="Arial" w:cs="Arial"/>
              </w:rPr>
            </w:pPr>
            <w:r w:rsidRPr="00CE31FA">
              <w:rPr>
                <w:rFonts w:ascii="Arial" w:hAnsi="Arial" w:cs="Arial"/>
              </w:rPr>
              <w:t>The application</w:t>
            </w:r>
            <w:r w:rsidR="00B74C3E" w:rsidRPr="00CE31FA">
              <w:rPr>
                <w:rFonts w:ascii="Arial" w:hAnsi="Arial" w:cs="Arial"/>
              </w:rPr>
              <w:t xml:space="preserve"> wa</w:t>
            </w:r>
            <w:r w:rsidR="00D21C3A" w:rsidRPr="00CE31FA">
              <w:rPr>
                <w:rFonts w:ascii="Arial" w:hAnsi="Arial" w:cs="Arial"/>
              </w:rPr>
              <w:t>s</w:t>
            </w:r>
            <w:r w:rsidRPr="00CE31FA">
              <w:rPr>
                <w:rFonts w:ascii="Arial" w:hAnsi="Arial" w:cs="Arial"/>
              </w:rPr>
              <w:t xml:space="preserve"> refused by </w:t>
            </w:r>
            <w:r w:rsidR="00E82709">
              <w:rPr>
                <w:rFonts w:ascii="Arial" w:hAnsi="Arial" w:cs="Arial"/>
              </w:rPr>
              <w:t>S</w:t>
            </w:r>
            <w:r w:rsidR="00406936">
              <w:rPr>
                <w:rFonts w:ascii="Arial" w:hAnsi="Arial" w:cs="Arial"/>
              </w:rPr>
              <w:t>CC</w:t>
            </w:r>
            <w:r w:rsidR="009F6529">
              <w:rPr>
                <w:rFonts w:ascii="Arial" w:hAnsi="Arial" w:cs="Arial"/>
              </w:rPr>
              <w:t xml:space="preserve"> </w:t>
            </w:r>
            <w:r w:rsidR="004E59D9">
              <w:rPr>
                <w:rFonts w:ascii="Arial" w:hAnsi="Arial" w:cs="Arial"/>
              </w:rPr>
              <w:t xml:space="preserve">on </w:t>
            </w:r>
            <w:r w:rsidR="00E82709">
              <w:rPr>
                <w:rFonts w:ascii="Arial" w:hAnsi="Arial" w:cs="Arial"/>
              </w:rPr>
              <w:t>23 June</w:t>
            </w:r>
            <w:r w:rsidR="009F6529">
              <w:rPr>
                <w:rFonts w:ascii="Arial" w:hAnsi="Arial" w:cs="Arial"/>
              </w:rPr>
              <w:t xml:space="preserve"> 202</w:t>
            </w:r>
            <w:r w:rsidR="00E82709">
              <w:rPr>
                <w:rFonts w:ascii="Arial" w:hAnsi="Arial" w:cs="Arial"/>
              </w:rPr>
              <w:t>3</w:t>
            </w:r>
            <w:r w:rsidR="009F6529">
              <w:rPr>
                <w:rFonts w:ascii="Arial" w:hAnsi="Arial" w:cs="Arial"/>
              </w:rPr>
              <w:t xml:space="preserve"> </w:t>
            </w:r>
            <w:r w:rsidRPr="00CE31FA">
              <w:rPr>
                <w:rFonts w:ascii="Arial" w:hAnsi="Arial" w:cs="Arial"/>
              </w:rPr>
              <w:t xml:space="preserve">and the </w:t>
            </w:r>
            <w:r w:rsidR="00D21F48">
              <w:rPr>
                <w:rFonts w:ascii="Arial" w:hAnsi="Arial" w:cs="Arial"/>
              </w:rPr>
              <w:t>A</w:t>
            </w:r>
            <w:r w:rsidRPr="00CE31FA">
              <w:rPr>
                <w:rFonts w:ascii="Arial" w:hAnsi="Arial" w:cs="Arial"/>
              </w:rPr>
              <w:t>ppellant was form</w:t>
            </w:r>
            <w:r w:rsidR="007A6396" w:rsidRPr="00CE31FA">
              <w:rPr>
                <w:rFonts w:ascii="Arial" w:hAnsi="Arial" w:cs="Arial"/>
              </w:rPr>
              <w:t xml:space="preserve">ally notified </w:t>
            </w:r>
            <w:r w:rsidRPr="00CE31FA">
              <w:rPr>
                <w:rFonts w:ascii="Arial" w:hAnsi="Arial" w:cs="Arial"/>
              </w:rPr>
              <w:t>of the decision</w:t>
            </w:r>
            <w:r w:rsidR="00E82709">
              <w:rPr>
                <w:rFonts w:ascii="Arial" w:hAnsi="Arial" w:cs="Arial"/>
              </w:rPr>
              <w:t xml:space="preserve"> on 27 June 2023.</w:t>
            </w:r>
            <w:r w:rsidR="00406936">
              <w:rPr>
                <w:rFonts w:ascii="Arial" w:hAnsi="Arial" w:cs="Arial"/>
              </w:rPr>
              <w:t xml:space="preserve"> On 13 July 2023 the Applicant gave notice of appeal against the decision of SCC not to make an Order.</w:t>
            </w:r>
          </w:p>
          <w:p w14:paraId="4F2ABA90" w14:textId="77777777" w:rsidR="00793335" w:rsidRPr="00CE31FA" w:rsidRDefault="00793335" w:rsidP="00E73A3C">
            <w:pPr>
              <w:pStyle w:val="TBullet"/>
              <w:spacing w:before="60"/>
              <w:ind w:left="357" w:hanging="357"/>
              <w:rPr>
                <w:rFonts w:ascii="Arial" w:hAnsi="Arial" w:cs="Arial"/>
              </w:rPr>
            </w:pPr>
            <w:r>
              <w:rPr>
                <w:rFonts w:ascii="Arial" w:hAnsi="Arial" w:cs="Arial"/>
              </w:rPr>
              <w:t>In writing this decision I have found it helpful to refer to points on the claimed routes marked on the app</w:t>
            </w:r>
            <w:r w:rsidR="003374A8">
              <w:rPr>
                <w:rFonts w:ascii="Arial" w:hAnsi="Arial" w:cs="Arial"/>
              </w:rPr>
              <w:t>eal</w:t>
            </w:r>
            <w:r>
              <w:rPr>
                <w:rFonts w:ascii="Arial" w:hAnsi="Arial" w:cs="Arial"/>
              </w:rPr>
              <w:t xml:space="preserve"> map. I therefore attach a copy.</w:t>
            </w:r>
          </w:p>
        </w:tc>
      </w:tr>
      <w:tr w:rsidR="00DD37E9" w:rsidRPr="00CE31FA" w14:paraId="4E4729B6" w14:textId="77777777" w:rsidTr="00DD37E9">
        <w:tblPrEx>
          <w:tblCellMar>
            <w:top w:w="0" w:type="dxa"/>
            <w:bottom w:w="0" w:type="dxa"/>
          </w:tblCellMar>
        </w:tblPrEx>
        <w:tc>
          <w:tcPr>
            <w:tcW w:w="9520" w:type="dxa"/>
            <w:shd w:val="clear" w:color="auto" w:fill="auto"/>
          </w:tcPr>
          <w:p w14:paraId="0C08F261" w14:textId="77777777" w:rsidR="00DD37E9" w:rsidRPr="00CE31FA" w:rsidRDefault="00DD37E9" w:rsidP="00EE488F">
            <w:pPr>
              <w:spacing w:before="120"/>
              <w:rPr>
                <w:rFonts w:ascii="Arial" w:hAnsi="Arial" w:cs="Arial"/>
                <w:b/>
                <w:color w:val="000000"/>
              </w:rPr>
            </w:pPr>
            <w:r w:rsidRPr="00CE31FA">
              <w:rPr>
                <w:rFonts w:ascii="Arial" w:hAnsi="Arial" w:cs="Arial"/>
                <w:b/>
                <w:color w:val="000000"/>
              </w:rPr>
              <w:t>Summary of Decision:</w:t>
            </w:r>
            <w:r w:rsidR="00B925A5" w:rsidRPr="00CE31FA">
              <w:rPr>
                <w:rFonts w:ascii="Arial" w:hAnsi="Arial" w:cs="Arial"/>
                <w:b/>
                <w:color w:val="000000"/>
              </w:rPr>
              <w:t xml:space="preserve"> </w:t>
            </w:r>
            <w:r w:rsidR="00B74497" w:rsidRPr="00CE31FA">
              <w:rPr>
                <w:rFonts w:ascii="Arial" w:hAnsi="Arial" w:cs="Arial"/>
                <w:b/>
                <w:color w:val="000000"/>
              </w:rPr>
              <w:t xml:space="preserve"> </w:t>
            </w:r>
            <w:r w:rsidR="00512561" w:rsidRPr="007658F2">
              <w:rPr>
                <w:rFonts w:ascii="Arial" w:hAnsi="Arial" w:cs="Arial"/>
                <w:b/>
                <w:color w:val="000000"/>
              </w:rPr>
              <w:t>The appeal</w:t>
            </w:r>
            <w:r w:rsidR="00B74C3E" w:rsidRPr="007658F2">
              <w:rPr>
                <w:rFonts w:ascii="Arial" w:hAnsi="Arial" w:cs="Arial"/>
                <w:b/>
                <w:color w:val="000000"/>
              </w:rPr>
              <w:t xml:space="preserve"> </w:t>
            </w:r>
            <w:r w:rsidR="00E05DC8" w:rsidRPr="007658F2">
              <w:rPr>
                <w:rFonts w:ascii="Arial" w:hAnsi="Arial" w:cs="Arial"/>
                <w:b/>
                <w:color w:val="000000"/>
              </w:rPr>
              <w:t>i</w:t>
            </w:r>
            <w:r w:rsidR="00D21F48" w:rsidRPr="007658F2">
              <w:rPr>
                <w:rFonts w:ascii="Arial" w:hAnsi="Arial" w:cs="Arial"/>
                <w:b/>
                <w:color w:val="000000"/>
              </w:rPr>
              <w:t>s</w:t>
            </w:r>
            <w:r w:rsidR="007658F2">
              <w:rPr>
                <w:rFonts w:ascii="Arial" w:hAnsi="Arial" w:cs="Arial"/>
                <w:b/>
                <w:color w:val="000000"/>
              </w:rPr>
              <w:t xml:space="preserve"> allowed.</w:t>
            </w:r>
          </w:p>
        </w:tc>
      </w:tr>
      <w:tr w:rsidR="00DD37E9" w:rsidRPr="00CE31FA" w14:paraId="03D09930" w14:textId="77777777" w:rsidTr="00DD37E9">
        <w:tblPrEx>
          <w:tblCellMar>
            <w:top w:w="0" w:type="dxa"/>
            <w:bottom w:w="0" w:type="dxa"/>
          </w:tblCellMar>
        </w:tblPrEx>
        <w:tc>
          <w:tcPr>
            <w:tcW w:w="9520" w:type="dxa"/>
            <w:tcBorders>
              <w:bottom w:val="single" w:sz="6" w:space="0" w:color="000000"/>
            </w:tcBorders>
            <w:shd w:val="clear" w:color="auto" w:fill="auto"/>
          </w:tcPr>
          <w:p w14:paraId="1B1806FB" w14:textId="77777777" w:rsidR="00DD37E9" w:rsidRPr="00CE31FA" w:rsidRDefault="00DD37E9" w:rsidP="001B7C59">
            <w:pPr>
              <w:spacing w:before="60" w:after="60"/>
              <w:rPr>
                <w:rFonts w:ascii="Arial" w:hAnsi="Arial" w:cs="Arial"/>
                <w:b/>
                <w:color w:val="000000"/>
                <w:sz w:val="2"/>
              </w:rPr>
            </w:pPr>
            <w:bookmarkStart w:id="1" w:name="bmkReturn"/>
            <w:bookmarkEnd w:id="1"/>
          </w:p>
        </w:tc>
      </w:tr>
    </w:tbl>
    <w:p w14:paraId="74917D48" w14:textId="77777777" w:rsidR="002C6E5C" w:rsidRPr="009F6529" w:rsidRDefault="002C6E5C" w:rsidP="002C6E5C">
      <w:pPr>
        <w:pStyle w:val="Heading6blackfont"/>
        <w:rPr>
          <w:rFonts w:ascii="Arial" w:hAnsi="Arial" w:cs="Arial"/>
          <w:sz w:val="24"/>
          <w:szCs w:val="24"/>
        </w:rPr>
      </w:pPr>
      <w:r w:rsidRPr="009F6529">
        <w:rPr>
          <w:rFonts w:ascii="Arial" w:hAnsi="Arial" w:cs="Arial"/>
          <w:sz w:val="24"/>
          <w:szCs w:val="24"/>
        </w:rPr>
        <w:t>Preliminary Matters</w:t>
      </w:r>
    </w:p>
    <w:p w14:paraId="0C8031DD" w14:textId="77777777" w:rsidR="00C5189E" w:rsidRPr="009F6529" w:rsidRDefault="00C5189E" w:rsidP="00C93009">
      <w:pPr>
        <w:pStyle w:val="Style1"/>
        <w:tabs>
          <w:tab w:val="clear" w:pos="432"/>
          <w:tab w:val="clear" w:pos="1145"/>
          <w:tab w:val="num" w:pos="426"/>
          <w:tab w:val="left" w:pos="1134"/>
        </w:tabs>
        <w:ind w:left="426" w:hanging="426"/>
        <w:rPr>
          <w:rFonts w:ascii="Arial" w:hAnsi="Arial" w:cs="Arial"/>
          <w:sz w:val="24"/>
          <w:szCs w:val="24"/>
        </w:rPr>
      </w:pPr>
      <w:r w:rsidRPr="009F6529">
        <w:rPr>
          <w:rFonts w:ascii="Arial" w:hAnsi="Arial" w:cs="Arial"/>
          <w:sz w:val="24"/>
          <w:szCs w:val="24"/>
        </w:rPr>
        <w:t xml:space="preserve">I </w:t>
      </w:r>
      <w:r w:rsidR="007277A3" w:rsidRPr="009F6529">
        <w:rPr>
          <w:rFonts w:ascii="Arial" w:hAnsi="Arial" w:cs="Arial"/>
          <w:sz w:val="24"/>
          <w:szCs w:val="24"/>
        </w:rPr>
        <w:t>have been directed</w:t>
      </w:r>
      <w:r w:rsidRPr="009F6529">
        <w:rPr>
          <w:rFonts w:ascii="Arial" w:hAnsi="Arial" w:cs="Arial"/>
          <w:sz w:val="24"/>
          <w:szCs w:val="24"/>
        </w:rPr>
        <w:t xml:space="preserve"> by the Secretary of State </w:t>
      </w:r>
      <w:r w:rsidR="00F64A71" w:rsidRPr="009F6529">
        <w:rPr>
          <w:rFonts w:ascii="Arial" w:hAnsi="Arial" w:cs="Arial"/>
          <w:sz w:val="24"/>
          <w:szCs w:val="24"/>
        </w:rPr>
        <w:t xml:space="preserve">for Environment, Food and Rural Affairs </w:t>
      </w:r>
      <w:r w:rsidRPr="009F6529">
        <w:rPr>
          <w:rFonts w:ascii="Arial" w:hAnsi="Arial" w:cs="Arial"/>
          <w:sz w:val="24"/>
          <w:szCs w:val="24"/>
        </w:rPr>
        <w:t xml:space="preserve">to determine </w:t>
      </w:r>
      <w:r w:rsidR="007F566E" w:rsidRPr="009F6529">
        <w:rPr>
          <w:rFonts w:ascii="Arial" w:hAnsi="Arial" w:cs="Arial"/>
          <w:sz w:val="24"/>
          <w:szCs w:val="24"/>
        </w:rPr>
        <w:t>th</w:t>
      </w:r>
      <w:r w:rsidR="00C31890" w:rsidRPr="009F6529">
        <w:rPr>
          <w:rFonts w:ascii="Arial" w:hAnsi="Arial" w:cs="Arial"/>
          <w:sz w:val="24"/>
          <w:szCs w:val="24"/>
        </w:rPr>
        <w:t>i</w:t>
      </w:r>
      <w:r w:rsidR="007F566E" w:rsidRPr="009F6529">
        <w:rPr>
          <w:rFonts w:ascii="Arial" w:hAnsi="Arial" w:cs="Arial"/>
          <w:sz w:val="24"/>
          <w:szCs w:val="24"/>
        </w:rPr>
        <w:t>s</w:t>
      </w:r>
      <w:r w:rsidRPr="009F6529">
        <w:rPr>
          <w:rFonts w:ascii="Arial" w:hAnsi="Arial" w:cs="Arial"/>
          <w:sz w:val="24"/>
          <w:szCs w:val="24"/>
        </w:rPr>
        <w:t xml:space="preserve"> appeal under Section 53(5) and Paragraph 4(1)</w:t>
      </w:r>
      <w:r w:rsidR="00F64A71" w:rsidRPr="009F6529">
        <w:rPr>
          <w:rFonts w:ascii="Arial" w:hAnsi="Arial" w:cs="Arial"/>
          <w:sz w:val="24"/>
          <w:szCs w:val="24"/>
        </w:rPr>
        <w:t xml:space="preserve"> of Schedule 14 of the Wildlife and Countryside Act 1981</w:t>
      </w:r>
      <w:r w:rsidR="0066025C" w:rsidRPr="009F6529">
        <w:rPr>
          <w:rFonts w:ascii="Arial" w:hAnsi="Arial" w:cs="Arial"/>
          <w:sz w:val="24"/>
          <w:szCs w:val="24"/>
        </w:rPr>
        <w:t xml:space="preserve"> (the 1981 Act)</w:t>
      </w:r>
      <w:r w:rsidR="004902DB" w:rsidRPr="009F6529">
        <w:rPr>
          <w:rFonts w:ascii="Arial" w:hAnsi="Arial" w:cs="Arial"/>
          <w:sz w:val="24"/>
          <w:szCs w:val="24"/>
        </w:rPr>
        <w:t xml:space="preserve"> </w:t>
      </w:r>
      <w:r w:rsidR="00DE1587" w:rsidRPr="009F6529">
        <w:rPr>
          <w:rFonts w:ascii="Arial" w:hAnsi="Arial" w:cs="Arial"/>
          <w:sz w:val="24"/>
          <w:szCs w:val="24"/>
        </w:rPr>
        <w:t>on</w:t>
      </w:r>
      <w:r w:rsidR="004902DB" w:rsidRPr="009F6529">
        <w:rPr>
          <w:rFonts w:ascii="Arial" w:hAnsi="Arial" w:cs="Arial"/>
          <w:sz w:val="24"/>
          <w:szCs w:val="24"/>
        </w:rPr>
        <w:t xml:space="preserve"> </w:t>
      </w:r>
      <w:r w:rsidR="00DE1587" w:rsidRPr="009F6529">
        <w:rPr>
          <w:rFonts w:ascii="Arial" w:hAnsi="Arial" w:cs="Arial"/>
          <w:sz w:val="24"/>
          <w:szCs w:val="24"/>
        </w:rPr>
        <w:t>the basis of the papers submitted.</w:t>
      </w:r>
      <w:r w:rsidR="00A606EF" w:rsidRPr="009F6529">
        <w:rPr>
          <w:rFonts w:ascii="Arial" w:hAnsi="Arial" w:cs="Arial"/>
          <w:sz w:val="24"/>
          <w:szCs w:val="24"/>
        </w:rPr>
        <w:t xml:space="preserve"> </w:t>
      </w:r>
      <w:r w:rsidR="00862392" w:rsidRPr="009F6529">
        <w:rPr>
          <w:rFonts w:ascii="Arial" w:hAnsi="Arial" w:cs="Arial"/>
          <w:sz w:val="24"/>
          <w:szCs w:val="24"/>
        </w:rPr>
        <w:t>In this case I am satisfied I can reach a reliable decision without visiting the site.</w:t>
      </w:r>
    </w:p>
    <w:p w14:paraId="2D05A4C2" w14:textId="77777777" w:rsidR="00D94097" w:rsidRPr="009F6529" w:rsidRDefault="008453CB" w:rsidP="00C93009">
      <w:pPr>
        <w:pStyle w:val="Style1"/>
        <w:tabs>
          <w:tab w:val="clear" w:pos="432"/>
          <w:tab w:val="clear" w:pos="1145"/>
          <w:tab w:val="num" w:pos="426"/>
          <w:tab w:val="left" w:pos="1134"/>
        </w:tabs>
        <w:ind w:left="426" w:hanging="426"/>
        <w:rPr>
          <w:rFonts w:ascii="Arial" w:hAnsi="Arial" w:cs="Arial"/>
          <w:sz w:val="24"/>
          <w:szCs w:val="24"/>
        </w:rPr>
      </w:pPr>
      <w:r w:rsidRPr="009F6529">
        <w:rPr>
          <w:rFonts w:ascii="Arial" w:hAnsi="Arial" w:cs="Arial"/>
          <w:sz w:val="24"/>
          <w:szCs w:val="24"/>
        </w:rPr>
        <w:t xml:space="preserve">The </w:t>
      </w:r>
      <w:r w:rsidR="00E05DC8">
        <w:rPr>
          <w:rFonts w:ascii="Arial" w:hAnsi="Arial" w:cs="Arial"/>
          <w:sz w:val="24"/>
          <w:szCs w:val="24"/>
        </w:rPr>
        <w:t>A</w:t>
      </w:r>
      <w:r w:rsidRPr="009F6529">
        <w:rPr>
          <w:rFonts w:ascii="Arial" w:hAnsi="Arial" w:cs="Arial"/>
          <w:sz w:val="24"/>
          <w:szCs w:val="24"/>
        </w:rPr>
        <w:t>ppellant</w:t>
      </w:r>
      <w:r w:rsidR="00406936">
        <w:rPr>
          <w:rFonts w:ascii="Arial" w:hAnsi="Arial" w:cs="Arial"/>
          <w:sz w:val="24"/>
          <w:szCs w:val="24"/>
        </w:rPr>
        <w:t xml:space="preserve"> </w:t>
      </w:r>
      <w:r w:rsidRPr="009F6529">
        <w:rPr>
          <w:rFonts w:ascii="Arial" w:hAnsi="Arial" w:cs="Arial"/>
          <w:sz w:val="24"/>
          <w:szCs w:val="24"/>
        </w:rPr>
        <w:t xml:space="preserve">requests </w:t>
      </w:r>
      <w:r w:rsidR="007F566E" w:rsidRPr="009F6529">
        <w:rPr>
          <w:rFonts w:ascii="Arial" w:hAnsi="Arial" w:cs="Arial"/>
          <w:sz w:val="24"/>
          <w:szCs w:val="24"/>
        </w:rPr>
        <w:t xml:space="preserve">that </w:t>
      </w:r>
      <w:r w:rsidRPr="009F6529">
        <w:rPr>
          <w:rFonts w:ascii="Arial" w:hAnsi="Arial" w:cs="Arial"/>
          <w:sz w:val="24"/>
          <w:szCs w:val="24"/>
        </w:rPr>
        <w:t>the Secretary of State directs</w:t>
      </w:r>
      <w:r w:rsidR="00AC0C59" w:rsidRPr="009F6529">
        <w:rPr>
          <w:rFonts w:ascii="Arial" w:hAnsi="Arial" w:cs="Arial"/>
          <w:sz w:val="24"/>
          <w:szCs w:val="24"/>
        </w:rPr>
        <w:t xml:space="preserve"> </w:t>
      </w:r>
      <w:r w:rsidR="009F6529">
        <w:rPr>
          <w:rFonts w:ascii="Arial" w:hAnsi="Arial" w:cs="Arial"/>
          <w:sz w:val="24"/>
          <w:szCs w:val="24"/>
        </w:rPr>
        <w:t>S</w:t>
      </w:r>
      <w:r w:rsidR="00E37272" w:rsidRPr="009F6529">
        <w:rPr>
          <w:rFonts w:ascii="Arial" w:hAnsi="Arial" w:cs="Arial"/>
          <w:sz w:val="24"/>
          <w:szCs w:val="24"/>
        </w:rPr>
        <w:t>CC</w:t>
      </w:r>
      <w:r w:rsidR="001A120D" w:rsidRPr="009F6529">
        <w:rPr>
          <w:rFonts w:ascii="Arial" w:hAnsi="Arial" w:cs="Arial"/>
          <w:sz w:val="24"/>
          <w:szCs w:val="24"/>
        </w:rPr>
        <w:t xml:space="preserve"> </w:t>
      </w:r>
      <w:r w:rsidRPr="009F6529">
        <w:rPr>
          <w:rFonts w:ascii="Arial" w:hAnsi="Arial" w:cs="Arial"/>
          <w:sz w:val="24"/>
          <w:szCs w:val="24"/>
        </w:rPr>
        <w:t xml:space="preserve">to make </w:t>
      </w:r>
      <w:r w:rsidR="00D75175" w:rsidRPr="009F6529">
        <w:rPr>
          <w:rFonts w:ascii="Arial" w:hAnsi="Arial" w:cs="Arial"/>
          <w:sz w:val="24"/>
          <w:szCs w:val="24"/>
        </w:rPr>
        <w:t xml:space="preserve">a </w:t>
      </w:r>
      <w:r w:rsidRPr="009F6529">
        <w:rPr>
          <w:rFonts w:ascii="Arial" w:hAnsi="Arial" w:cs="Arial"/>
          <w:sz w:val="24"/>
          <w:szCs w:val="24"/>
        </w:rPr>
        <w:t xml:space="preserve">definitive map modification order under Schedule 15 of the 1981 Act </w:t>
      </w:r>
      <w:r w:rsidR="007F566E" w:rsidRPr="009F6529">
        <w:rPr>
          <w:rFonts w:ascii="Arial" w:hAnsi="Arial" w:cs="Arial"/>
          <w:sz w:val="24"/>
          <w:szCs w:val="24"/>
        </w:rPr>
        <w:t xml:space="preserve">to </w:t>
      </w:r>
      <w:r w:rsidR="0097669C" w:rsidRPr="009F6529">
        <w:rPr>
          <w:rFonts w:ascii="Arial" w:hAnsi="Arial" w:cs="Arial"/>
          <w:sz w:val="24"/>
          <w:szCs w:val="24"/>
        </w:rPr>
        <w:t>re</w:t>
      </w:r>
      <w:r w:rsidR="007F566E" w:rsidRPr="009F6529">
        <w:rPr>
          <w:rFonts w:ascii="Arial" w:hAnsi="Arial" w:cs="Arial"/>
          <w:sz w:val="24"/>
          <w:szCs w:val="24"/>
        </w:rPr>
        <w:t xml:space="preserve">cord </w:t>
      </w:r>
      <w:r w:rsidRPr="009F6529">
        <w:rPr>
          <w:rFonts w:ascii="Arial" w:hAnsi="Arial" w:cs="Arial"/>
          <w:color w:val="auto"/>
          <w:sz w:val="24"/>
          <w:szCs w:val="24"/>
        </w:rPr>
        <w:t xml:space="preserve">the </w:t>
      </w:r>
      <w:r w:rsidR="00127B8D" w:rsidRPr="009F6529">
        <w:rPr>
          <w:rFonts w:ascii="Arial" w:hAnsi="Arial" w:cs="Arial"/>
          <w:color w:val="auto"/>
          <w:sz w:val="24"/>
          <w:szCs w:val="24"/>
        </w:rPr>
        <w:t>route</w:t>
      </w:r>
      <w:r w:rsidR="005C34BD">
        <w:rPr>
          <w:rFonts w:ascii="Arial" w:hAnsi="Arial" w:cs="Arial"/>
          <w:color w:val="auto"/>
          <w:sz w:val="24"/>
          <w:szCs w:val="24"/>
        </w:rPr>
        <w:t>s</w:t>
      </w:r>
      <w:r w:rsidR="00127B8D" w:rsidRPr="009F6529">
        <w:rPr>
          <w:rFonts w:ascii="Arial" w:hAnsi="Arial" w:cs="Arial"/>
          <w:color w:val="auto"/>
          <w:sz w:val="24"/>
          <w:szCs w:val="24"/>
        </w:rPr>
        <w:t xml:space="preserve"> which </w:t>
      </w:r>
      <w:r w:rsidR="005C34BD">
        <w:rPr>
          <w:rFonts w:ascii="Arial" w:hAnsi="Arial" w:cs="Arial"/>
          <w:color w:val="auto"/>
          <w:sz w:val="24"/>
          <w:szCs w:val="24"/>
        </w:rPr>
        <w:t>are</w:t>
      </w:r>
      <w:r w:rsidR="001B124E" w:rsidRPr="009F6529">
        <w:rPr>
          <w:rFonts w:ascii="Arial" w:hAnsi="Arial" w:cs="Arial"/>
          <w:color w:val="auto"/>
          <w:sz w:val="24"/>
          <w:szCs w:val="24"/>
        </w:rPr>
        <w:t xml:space="preserve"> the subject of th</w:t>
      </w:r>
      <w:r w:rsidR="005D4A25" w:rsidRPr="009F6529">
        <w:rPr>
          <w:rFonts w:ascii="Arial" w:hAnsi="Arial" w:cs="Arial"/>
          <w:color w:val="auto"/>
          <w:sz w:val="24"/>
          <w:szCs w:val="24"/>
        </w:rPr>
        <w:t>i</w:t>
      </w:r>
      <w:r w:rsidR="00127B8D" w:rsidRPr="009F6529">
        <w:rPr>
          <w:rFonts w:ascii="Arial" w:hAnsi="Arial" w:cs="Arial"/>
          <w:color w:val="auto"/>
          <w:sz w:val="24"/>
          <w:szCs w:val="24"/>
        </w:rPr>
        <w:t>s appeal</w:t>
      </w:r>
      <w:r w:rsidR="00D94097" w:rsidRPr="009F6529">
        <w:rPr>
          <w:rFonts w:ascii="Arial" w:hAnsi="Arial" w:cs="Arial"/>
          <w:color w:val="auto"/>
          <w:sz w:val="24"/>
          <w:szCs w:val="24"/>
        </w:rPr>
        <w:t xml:space="preserve"> </w:t>
      </w:r>
      <w:r w:rsidR="009F6529">
        <w:rPr>
          <w:rFonts w:ascii="Arial" w:hAnsi="Arial" w:cs="Arial"/>
          <w:color w:val="auto"/>
          <w:sz w:val="24"/>
          <w:szCs w:val="24"/>
        </w:rPr>
        <w:t xml:space="preserve">as </w:t>
      </w:r>
      <w:r w:rsidR="00406936">
        <w:rPr>
          <w:rFonts w:ascii="Arial" w:hAnsi="Arial" w:cs="Arial"/>
          <w:color w:val="auto"/>
          <w:sz w:val="24"/>
          <w:szCs w:val="24"/>
        </w:rPr>
        <w:t>footpath</w:t>
      </w:r>
      <w:r w:rsidR="00A556E8">
        <w:rPr>
          <w:rFonts w:ascii="Arial" w:hAnsi="Arial" w:cs="Arial"/>
          <w:color w:val="auto"/>
          <w:sz w:val="24"/>
          <w:szCs w:val="24"/>
        </w:rPr>
        <w:t>s</w:t>
      </w:r>
      <w:r w:rsidR="00253881">
        <w:rPr>
          <w:rFonts w:ascii="Arial" w:hAnsi="Arial" w:cs="Arial"/>
          <w:color w:val="auto"/>
          <w:sz w:val="24"/>
          <w:szCs w:val="24"/>
        </w:rPr>
        <w:t>.</w:t>
      </w:r>
    </w:p>
    <w:p w14:paraId="4C8E662A" w14:textId="77777777" w:rsidR="00193B16" w:rsidRPr="009F6529" w:rsidRDefault="00414C02" w:rsidP="00E37272">
      <w:pPr>
        <w:pStyle w:val="Style1"/>
        <w:ind w:left="426" w:hanging="426"/>
        <w:rPr>
          <w:rFonts w:ascii="Arial" w:hAnsi="Arial" w:cs="Arial"/>
          <w:color w:val="auto"/>
          <w:sz w:val="24"/>
          <w:szCs w:val="24"/>
        </w:rPr>
      </w:pPr>
      <w:r w:rsidRPr="009F6529">
        <w:rPr>
          <w:rFonts w:ascii="Arial" w:hAnsi="Arial" w:cs="Arial"/>
          <w:sz w:val="24"/>
          <w:szCs w:val="24"/>
        </w:rPr>
        <w:t>I</w:t>
      </w:r>
      <w:r w:rsidR="00406936">
        <w:rPr>
          <w:rFonts w:ascii="Arial" w:hAnsi="Arial" w:cs="Arial"/>
          <w:sz w:val="24"/>
          <w:szCs w:val="24"/>
        </w:rPr>
        <w:t xml:space="preserve"> have before me the application made by the Applicant </w:t>
      </w:r>
      <w:r w:rsidR="00A556E8">
        <w:rPr>
          <w:rFonts w:ascii="Arial" w:hAnsi="Arial" w:cs="Arial"/>
          <w:sz w:val="24"/>
          <w:szCs w:val="24"/>
        </w:rPr>
        <w:t xml:space="preserve">on 22 June 1990 together with the evidence submitted </w:t>
      </w:r>
      <w:r w:rsidR="00EB2961">
        <w:rPr>
          <w:rFonts w:ascii="Arial" w:hAnsi="Arial" w:cs="Arial"/>
          <w:sz w:val="24"/>
          <w:szCs w:val="24"/>
        </w:rPr>
        <w:t>in support of</w:t>
      </w:r>
      <w:r w:rsidR="00A556E8">
        <w:rPr>
          <w:rFonts w:ascii="Arial" w:hAnsi="Arial" w:cs="Arial"/>
          <w:sz w:val="24"/>
          <w:szCs w:val="24"/>
        </w:rPr>
        <w:t xml:space="preserve"> the application and subsequently. In addition</w:t>
      </w:r>
      <w:r w:rsidR="00AD28D2">
        <w:rPr>
          <w:rFonts w:ascii="Arial" w:hAnsi="Arial" w:cs="Arial"/>
          <w:sz w:val="24"/>
          <w:szCs w:val="24"/>
        </w:rPr>
        <w:t>,</w:t>
      </w:r>
      <w:r w:rsidR="00A556E8">
        <w:rPr>
          <w:rFonts w:ascii="Arial" w:hAnsi="Arial" w:cs="Arial"/>
          <w:sz w:val="24"/>
          <w:szCs w:val="24"/>
        </w:rPr>
        <w:t xml:space="preserve"> I have the SCC investigation report and statement of reasons, the appeal and SCC’s response.</w:t>
      </w:r>
      <w:r w:rsidRPr="009F6529">
        <w:rPr>
          <w:rFonts w:ascii="Arial" w:hAnsi="Arial" w:cs="Arial"/>
          <w:sz w:val="24"/>
          <w:szCs w:val="24"/>
        </w:rPr>
        <w:t xml:space="preserve"> I have considered all these documents in </w:t>
      </w:r>
      <w:r w:rsidR="000826FE" w:rsidRPr="009F6529">
        <w:rPr>
          <w:rFonts w:ascii="Arial" w:hAnsi="Arial" w:cs="Arial"/>
          <w:sz w:val="24"/>
          <w:szCs w:val="24"/>
        </w:rPr>
        <w:t xml:space="preserve">forming my conclusions.  </w:t>
      </w:r>
    </w:p>
    <w:p w14:paraId="0DF2423C" w14:textId="77777777" w:rsidR="009A50E6" w:rsidRPr="009F6529" w:rsidRDefault="005C34BD" w:rsidP="00E37272">
      <w:pPr>
        <w:pStyle w:val="Style1"/>
        <w:ind w:left="426" w:hanging="426"/>
        <w:rPr>
          <w:rFonts w:ascii="Arial" w:hAnsi="Arial" w:cs="Arial"/>
          <w:color w:val="auto"/>
          <w:sz w:val="24"/>
          <w:szCs w:val="24"/>
        </w:rPr>
      </w:pPr>
      <w:r>
        <w:rPr>
          <w:rFonts w:ascii="Arial" w:hAnsi="Arial" w:cs="Arial"/>
          <w:sz w:val="24"/>
          <w:szCs w:val="24"/>
        </w:rPr>
        <w:t>The app</w:t>
      </w:r>
      <w:r w:rsidR="007C15CA">
        <w:rPr>
          <w:rFonts w:ascii="Arial" w:hAnsi="Arial" w:cs="Arial"/>
          <w:sz w:val="24"/>
          <w:szCs w:val="24"/>
        </w:rPr>
        <w:t>eal</w:t>
      </w:r>
      <w:r>
        <w:rPr>
          <w:rFonts w:ascii="Arial" w:hAnsi="Arial" w:cs="Arial"/>
          <w:sz w:val="24"/>
          <w:szCs w:val="24"/>
        </w:rPr>
        <w:t xml:space="preserve"> concerns</w:t>
      </w:r>
      <w:r w:rsidR="00A556E8">
        <w:rPr>
          <w:rFonts w:ascii="Arial" w:hAnsi="Arial" w:cs="Arial"/>
          <w:sz w:val="24"/>
          <w:szCs w:val="24"/>
        </w:rPr>
        <w:t xml:space="preserve"> a principal route between Deep Haye</w:t>
      </w:r>
      <w:r w:rsidR="007D64C8">
        <w:rPr>
          <w:rFonts w:ascii="Arial" w:hAnsi="Arial" w:cs="Arial"/>
          <w:sz w:val="24"/>
          <w:szCs w:val="24"/>
        </w:rPr>
        <w:t>s</w:t>
      </w:r>
      <w:r w:rsidR="00A556E8">
        <w:rPr>
          <w:rFonts w:ascii="Arial" w:hAnsi="Arial" w:cs="Arial"/>
          <w:sz w:val="24"/>
          <w:szCs w:val="24"/>
        </w:rPr>
        <w:t xml:space="preserve"> and Crown Point (shown as points A and B on the attached map), and a cul-de-sac spur from point C to Deep Ha</w:t>
      </w:r>
      <w:r w:rsidR="00AD28D2">
        <w:rPr>
          <w:rFonts w:ascii="Arial" w:hAnsi="Arial" w:cs="Arial"/>
          <w:sz w:val="24"/>
          <w:szCs w:val="24"/>
        </w:rPr>
        <w:t>y</w:t>
      </w:r>
      <w:r w:rsidR="00A556E8">
        <w:rPr>
          <w:rFonts w:ascii="Arial" w:hAnsi="Arial" w:cs="Arial"/>
          <w:sz w:val="24"/>
          <w:szCs w:val="24"/>
        </w:rPr>
        <w:t>es Reservoir at point D</w:t>
      </w:r>
      <w:r w:rsidR="009F641C">
        <w:rPr>
          <w:rFonts w:ascii="Arial" w:hAnsi="Arial" w:cs="Arial"/>
          <w:sz w:val="24"/>
          <w:szCs w:val="24"/>
        </w:rPr>
        <w:t xml:space="preserve">. </w:t>
      </w:r>
      <w:r w:rsidR="00770ADD" w:rsidRPr="009F6529">
        <w:rPr>
          <w:rFonts w:ascii="Arial" w:hAnsi="Arial" w:cs="Arial"/>
          <w:sz w:val="24"/>
          <w:szCs w:val="24"/>
        </w:rPr>
        <w:t>I will refer to these routes</w:t>
      </w:r>
      <w:r w:rsidR="00AA7679" w:rsidRPr="009F6529">
        <w:rPr>
          <w:rFonts w:ascii="Arial" w:hAnsi="Arial" w:cs="Arial"/>
          <w:sz w:val="24"/>
          <w:szCs w:val="24"/>
        </w:rPr>
        <w:t xml:space="preserve"> </w:t>
      </w:r>
      <w:r w:rsidR="005C35CC">
        <w:rPr>
          <w:rFonts w:ascii="Arial" w:hAnsi="Arial" w:cs="Arial"/>
          <w:sz w:val="24"/>
          <w:szCs w:val="24"/>
        </w:rPr>
        <w:t>individually as A to B and C to D</w:t>
      </w:r>
      <w:r>
        <w:rPr>
          <w:rFonts w:ascii="Arial" w:hAnsi="Arial" w:cs="Arial"/>
          <w:sz w:val="24"/>
          <w:szCs w:val="24"/>
        </w:rPr>
        <w:t xml:space="preserve"> and collectively as the appeal routes</w:t>
      </w:r>
      <w:r w:rsidR="00A556E8">
        <w:rPr>
          <w:rFonts w:ascii="Arial" w:hAnsi="Arial" w:cs="Arial"/>
          <w:sz w:val="24"/>
          <w:szCs w:val="24"/>
        </w:rPr>
        <w:t>.</w:t>
      </w:r>
    </w:p>
    <w:p w14:paraId="21E3BDA2" w14:textId="77777777" w:rsidR="002C6E5C" w:rsidRPr="009F6529" w:rsidRDefault="002C6E5C" w:rsidP="002C6E5C">
      <w:pPr>
        <w:pStyle w:val="Heading6blackfont"/>
        <w:rPr>
          <w:rFonts w:ascii="Arial" w:hAnsi="Arial" w:cs="Arial"/>
          <w:sz w:val="24"/>
          <w:szCs w:val="24"/>
        </w:rPr>
      </w:pPr>
      <w:r w:rsidRPr="009F6529">
        <w:rPr>
          <w:rFonts w:ascii="Arial" w:hAnsi="Arial" w:cs="Arial"/>
          <w:sz w:val="24"/>
          <w:szCs w:val="24"/>
        </w:rPr>
        <w:t>Main issue</w:t>
      </w:r>
      <w:r w:rsidR="00622325" w:rsidRPr="009F6529">
        <w:rPr>
          <w:rFonts w:ascii="Arial" w:hAnsi="Arial" w:cs="Arial"/>
          <w:sz w:val="24"/>
          <w:szCs w:val="24"/>
        </w:rPr>
        <w:t>s</w:t>
      </w:r>
    </w:p>
    <w:p w14:paraId="38EEAE6B" w14:textId="77777777" w:rsidR="00E225CB" w:rsidRPr="00E225CB" w:rsidRDefault="00F12F31" w:rsidP="007D3BE4">
      <w:pPr>
        <w:pStyle w:val="Style1"/>
        <w:tabs>
          <w:tab w:val="num" w:pos="1430"/>
        </w:tabs>
        <w:ind w:left="426" w:hanging="426"/>
        <w:rPr>
          <w:rFonts w:ascii="Arial" w:hAnsi="Arial" w:cs="Arial"/>
          <w:color w:val="auto"/>
          <w:sz w:val="24"/>
          <w:szCs w:val="24"/>
        </w:rPr>
      </w:pPr>
      <w:r w:rsidRPr="009F6529">
        <w:rPr>
          <w:rFonts w:ascii="Arial" w:hAnsi="Arial" w:cs="Arial"/>
          <w:sz w:val="24"/>
          <w:szCs w:val="24"/>
        </w:rPr>
        <w:t xml:space="preserve">The main issue in this case </w:t>
      </w:r>
      <w:r w:rsidR="00A556E8">
        <w:rPr>
          <w:rFonts w:ascii="Arial" w:hAnsi="Arial" w:cs="Arial"/>
          <w:sz w:val="24"/>
          <w:szCs w:val="24"/>
        </w:rPr>
        <w:t>is</w:t>
      </w:r>
      <w:r w:rsidRPr="009F6529">
        <w:rPr>
          <w:rFonts w:ascii="Arial" w:hAnsi="Arial" w:cs="Arial"/>
          <w:sz w:val="24"/>
          <w:szCs w:val="24"/>
        </w:rPr>
        <w:t xml:space="preserve"> whether evidence </w:t>
      </w:r>
      <w:r w:rsidR="005C34BD">
        <w:rPr>
          <w:rFonts w:ascii="Arial" w:hAnsi="Arial" w:cs="Arial"/>
          <w:sz w:val="24"/>
          <w:szCs w:val="24"/>
        </w:rPr>
        <w:t xml:space="preserve">has been discovered which </w:t>
      </w:r>
      <w:r w:rsidR="00D20FDF">
        <w:rPr>
          <w:rFonts w:ascii="Arial" w:hAnsi="Arial" w:cs="Arial"/>
          <w:sz w:val="24"/>
          <w:szCs w:val="24"/>
        </w:rPr>
        <w:t xml:space="preserve">is sufficient to </w:t>
      </w:r>
      <w:r w:rsidR="005C34BD">
        <w:rPr>
          <w:rFonts w:ascii="Arial" w:hAnsi="Arial" w:cs="Arial"/>
          <w:sz w:val="24"/>
          <w:szCs w:val="24"/>
        </w:rPr>
        <w:t>show, on a balance of probabilities</w:t>
      </w:r>
      <w:r w:rsidR="00A556E8">
        <w:rPr>
          <w:rFonts w:ascii="Arial" w:hAnsi="Arial" w:cs="Arial"/>
          <w:sz w:val="24"/>
          <w:szCs w:val="24"/>
        </w:rPr>
        <w:t>,</w:t>
      </w:r>
      <w:r w:rsidRPr="009F6529">
        <w:rPr>
          <w:rFonts w:ascii="Arial" w:hAnsi="Arial" w:cs="Arial"/>
          <w:sz w:val="24"/>
          <w:szCs w:val="24"/>
        </w:rPr>
        <w:t xml:space="preserve"> that</w:t>
      </w:r>
      <w:r w:rsidR="00A556E8">
        <w:rPr>
          <w:rFonts w:ascii="Arial" w:hAnsi="Arial" w:cs="Arial"/>
          <w:sz w:val="24"/>
          <w:szCs w:val="24"/>
        </w:rPr>
        <w:t xml:space="preserve"> the appeal routes, which are not currently reco</w:t>
      </w:r>
      <w:r w:rsidR="001C6E2B">
        <w:rPr>
          <w:rFonts w:ascii="Arial" w:hAnsi="Arial" w:cs="Arial"/>
          <w:sz w:val="24"/>
          <w:szCs w:val="24"/>
        </w:rPr>
        <w:t>r</w:t>
      </w:r>
      <w:r w:rsidR="00A556E8">
        <w:rPr>
          <w:rFonts w:ascii="Arial" w:hAnsi="Arial" w:cs="Arial"/>
          <w:sz w:val="24"/>
          <w:szCs w:val="24"/>
        </w:rPr>
        <w:t>ded on the DMS, have the status of public footpaths, or that it is reasonable to so allege.</w:t>
      </w:r>
    </w:p>
    <w:p w14:paraId="37A60C0C" w14:textId="77777777" w:rsidR="00A5213F" w:rsidRPr="009F6529" w:rsidRDefault="00A5213F" w:rsidP="00A5213F">
      <w:pPr>
        <w:pStyle w:val="Style1"/>
        <w:numPr>
          <w:ilvl w:val="0"/>
          <w:numId w:val="0"/>
        </w:numPr>
        <w:tabs>
          <w:tab w:val="num" w:pos="1430"/>
        </w:tabs>
        <w:rPr>
          <w:rFonts w:ascii="Arial" w:hAnsi="Arial" w:cs="Arial"/>
          <w:b/>
          <w:bCs/>
          <w:color w:val="auto"/>
          <w:sz w:val="24"/>
          <w:szCs w:val="24"/>
        </w:rPr>
      </w:pPr>
      <w:r w:rsidRPr="009F6529">
        <w:rPr>
          <w:rFonts w:ascii="Arial" w:hAnsi="Arial" w:cs="Arial"/>
          <w:b/>
          <w:bCs/>
          <w:sz w:val="24"/>
          <w:szCs w:val="24"/>
        </w:rPr>
        <w:lastRenderedPageBreak/>
        <w:t>Legal framework</w:t>
      </w:r>
    </w:p>
    <w:p w14:paraId="782905A4" w14:textId="77777777" w:rsidR="00A5213F" w:rsidRDefault="00A5213F" w:rsidP="00A5213F">
      <w:pPr>
        <w:pStyle w:val="Style1"/>
        <w:tabs>
          <w:tab w:val="num" w:pos="1430"/>
        </w:tabs>
        <w:ind w:left="426" w:hanging="426"/>
        <w:rPr>
          <w:rFonts w:ascii="Arial" w:hAnsi="Arial" w:cs="Arial"/>
          <w:color w:val="auto"/>
          <w:sz w:val="24"/>
          <w:szCs w:val="24"/>
        </w:rPr>
      </w:pPr>
      <w:bookmarkStart w:id="2" w:name="_Ref497994642"/>
      <w:r w:rsidRPr="009F6529">
        <w:rPr>
          <w:rFonts w:ascii="Arial" w:hAnsi="Arial" w:cs="Arial"/>
          <w:color w:val="auto"/>
          <w:sz w:val="24"/>
          <w:szCs w:val="24"/>
        </w:rPr>
        <w:t xml:space="preserve">Section 53(2) of the 1981 Act requires </w:t>
      </w:r>
      <w:r w:rsidR="003833BB" w:rsidRPr="009F6529">
        <w:rPr>
          <w:rFonts w:ascii="Arial" w:hAnsi="Arial" w:cs="Arial"/>
          <w:color w:val="auto"/>
          <w:sz w:val="24"/>
          <w:szCs w:val="24"/>
        </w:rPr>
        <w:t>the</w:t>
      </w:r>
      <w:r w:rsidRPr="009F6529">
        <w:rPr>
          <w:rFonts w:ascii="Arial" w:hAnsi="Arial" w:cs="Arial"/>
          <w:color w:val="auto"/>
          <w:sz w:val="24"/>
          <w:szCs w:val="24"/>
        </w:rPr>
        <w:t xml:space="preserve"> surveying authority (in this case </w:t>
      </w:r>
      <w:r w:rsidR="00D20FDF">
        <w:rPr>
          <w:rFonts w:ascii="Arial" w:hAnsi="Arial" w:cs="Arial"/>
          <w:color w:val="auto"/>
          <w:sz w:val="24"/>
          <w:szCs w:val="24"/>
        </w:rPr>
        <w:t>S</w:t>
      </w:r>
      <w:r w:rsidRPr="009F6529">
        <w:rPr>
          <w:rFonts w:ascii="Arial" w:hAnsi="Arial" w:cs="Arial"/>
          <w:color w:val="auto"/>
          <w:sz w:val="24"/>
          <w:szCs w:val="24"/>
        </w:rPr>
        <w:t xml:space="preserve">CC) to make orders to modify its definitive map and statement in consequence of certain specified events </w:t>
      </w:r>
      <w:r w:rsidR="003833BB" w:rsidRPr="009F6529">
        <w:rPr>
          <w:rFonts w:ascii="Arial" w:hAnsi="Arial" w:cs="Arial"/>
          <w:color w:val="auto"/>
          <w:sz w:val="24"/>
          <w:szCs w:val="24"/>
        </w:rPr>
        <w:t xml:space="preserve">as </w:t>
      </w:r>
      <w:r w:rsidRPr="009F6529">
        <w:rPr>
          <w:rFonts w:ascii="Arial" w:hAnsi="Arial" w:cs="Arial"/>
          <w:color w:val="auto"/>
          <w:sz w:val="24"/>
          <w:szCs w:val="24"/>
        </w:rPr>
        <w:t>set out in Section 53(3).</w:t>
      </w:r>
    </w:p>
    <w:p w14:paraId="58CA6A40" w14:textId="77777777" w:rsidR="00AB5AEB" w:rsidRDefault="00451BE2" w:rsidP="00AB5AEB">
      <w:pPr>
        <w:pStyle w:val="Style1"/>
        <w:tabs>
          <w:tab w:val="num" w:pos="1430"/>
        </w:tabs>
        <w:ind w:left="426" w:hanging="426"/>
        <w:rPr>
          <w:rFonts w:ascii="Arial" w:hAnsi="Arial" w:cs="Arial"/>
          <w:color w:val="auto"/>
          <w:sz w:val="24"/>
          <w:szCs w:val="24"/>
        </w:rPr>
      </w:pPr>
      <w:r w:rsidRPr="00AB5AEB">
        <w:rPr>
          <w:rFonts w:ascii="Arial" w:hAnsi="Arial" w:cs="Arial"/>
          <w:color w:val="auto"/>
          <w:sz w:val="24"/>
          <w:szCs w:val="24"/>
        </w:rPr>
        <w:t>Sub-section 53(3)(c)(i) describes one such event as “the discovery by the authority of evidence which (when considered with all other relevant evidence available to them) shows … that a right of way which is not shown in the map and statement subsists or is reasonably alleged to subsist over land in the area to which the map relates …"</w:t>
      </w:r>
      <w:r w:rsidR="00AB5AEB" w:rsidRPr="00AB5AEB">
        <w:rPr>
          <w:rFonts w:ascii="Arial" w:hAnsi="Arial" w:cs="Arial"/>
          <w:color w:val="auto"/>
          <w:sz w:val="24"/>
          <w:szCs w:val="24"/>
        </w:rPr>
        <w:t>.</w:t>
      </w:r>
      <w:bookmarkEnd w:id="2"/>
    </w:p>
    <w:p w14:paraId="685AF4E3" w14:textId="77777777" w:rsidR="00862392" w:rsidRDefault="00AB5AEB" w:rsidP="00AB5AEB">
      <w:pPr>
        <w:pStyle w:val="Style1"/>
        <w:tabs>
          <w:tab w:val="num" w:pos="862"/>
          <w:tab w:val="num" w:pos="1430"/>
        </w:tabs>
        <w:ind w:left="426" w:hanging="426"/>
        <w:rPr>
          <w:rFonts w:ascii="Arial" w:hAnsi="Arial" w:cs="Arial"/>
          <w:color w:val="auto"/>
          <w:sz w:val="24"/>
          <w:szCs w:val="24"/>
        </w:rPr>
      </w:pPr>
      <w:r>
        <w:rPr>
          <w:rFonts w:ascii="Arial" w:hAnsi="Arial" w:cs="Arial"/>
          <w:color w:val="auto"/>
          <w:sz w:val="24"/>
          <w:szCs w:val="24"/>
        </w:rPr>
        <w:t>T</w:t>
      </w:r>
      <w:r w:rsidR="00862392" w:rsidRPr="00AB5AEB">
        <w:rPr>
          <w:rFonts w:ascii="Arial" w:hAnsi="Arial" w:cs="Arial"/>
          <w:color w:val="auto"/>
          <w:sz w:val="24"/>
          <w:szCs w:val="24"/>
        </w:rPr>
        <w:t xml:space="preserve">he statutory test to be applied to </w:t>
      </w:r>
      <w:r w:rsidR="005C35CC">
        <w:rPr>
          <w:rFonts w:ascii="Arial" w:hAnsi="Arial" w:cs="Arial"/>
          <w:color w:val="auto"/>
          <w:sz w:val="24"/>
          <w:szCs w:val="24"/>
        </w:rPr>
        <w:t xml:space="preserve">the </w:t>
      </w:r>
      <w:r w:rsidR="00862392" w:rsidRPr="00AB5AEB">
        <w:rPr>
          <w:rFonts w:ascii="Arial" w:hAnsi="Arial" w:cs="Arial"/>
          <w:color w:val="auto"/>
          <w:sz w:val="24"/>
          <w:szCs w:val="24"/>
        </w:rPr>
        <w:t xml:space="preserve">evidence under sub-section 53(3)(c)(i) therefore comprises two separate questions, one of which must be answered in the affirmative before an order is made: has a right of way been shown to subsist on the balance of probability </w:t>
      </w:r>
      <w:r w:rsidR="00862392" w:rsidRPr="00AB5AEB">
        <w:rPr>
          <w:rFonts w:ascii="Arial" w:hAnsi="Arial" w:cs="Arial"/>
          <w:color w:val="auto"/>
          <w:sz w:val="24"/>
          <w:szCs w:val="24"/>
          <w:u w:val="single"/>
        </w:rPr>
        <w:t>or</w:t>
      </w:r>
      <w:r w:rsidR="00862392" w:rsidRPr="00AB5AEB">
        <w:rPr>
          <w:rFonts w:ascii="Arial" w:hAnsi="Arial" w:cs="Arial"/>
          <w:color w:val="auto"/>
          <w:sz w:val="24"/>
          <w:szCs w:val="24"/>
        </w:rPr>
        <w:t xml:space="preserve"> has a right of way been reasonably alleged to subsist? Both these tests are applicable when deciding whether or not an order should be made</w:t>
      </w:r>
      <w:r w:rsidR="00EE2B80">
        <w:rPr>
          <w:rFonts w:ascii="Arial" w:hAnsi="Arial" w:cs="Arial"/>
          <w:color w:val="auto"/>
          <w:sz w:val="24"/>
          <w:szCs w:val="24"/>
        </w:rPr>
        <w:t xml:space="preserve"> </w:t>
      </w:r>
      <w:r w:rsidR="00133172" w:rsidRPr="00AB5AEB">
        <w:rPr>
          <w:rFonts w:ascii="Arial" w:hAnsi="Arial" w:cs="Arial"/>
          <w:color w:val="auto"/>
          <w:sz w:val="24"/>
          <w:szCs w:val="24"/>
        </w:rPr>
        <w:t>notwithstanding that for the Order to be confirmed subsequently only the higher test will apply</w:t>
      </w:r>
      <w:r w:rsidR="00862392" w:rsidRPr="00AB5AEB">
        <w:rPr>
          <w:rFonts w:ascii="Arial" w:hAnsi="Arial" w:cs="Arial"/>
          <w:color w:val="auto"/>
          <w:sz w:val="24"/>
          <w:szCs w:val="24"/>
        </w:rPr>
        <w:t xml:space="preserve">.  </w:t>
      </w:r>
    </w:p>
    <w:p w14:paraId="047187ED" w14:textId="77777777" w:rsidR="00114400" w:rsidRPr="00114400" w:rsidRDefault="00AB5AEB" w:rsidP="00114400">
      <w:pPr>
        <w:pStyle w:val="Style1"/>
        <w:tabs>
          <w:tab w:val="num" w:pos="-1189"/>
          <w:tab w:val="num" w:pos="862"/>
          <w:tab w:val="num" w:pos="1430"/>
        </w:tabs>
        <w:ind w:left="426" w:hanging="426"/>
        <w:rPr>
          <w:rFonts w:ascii="Arial" w:hAnsi="Arial" w:cs="Arial"/>
          <w:color w:val="auto"/>
          <w:sz w:val="24"/>
          <w:szCs w:val="24"/>
        </w:rPr>
      </w:pPr>
      <w:r>
        <w:t>Accordingly</w:t>
      </w:r>
      <w:r w:rsidR="00571F36">
        <w:t>,</w:t>
      </w:r>
      <w:r w:rsidR="001C6E2B">
        <w:t xml:space="preserve"> </w:t>
      </w:r>
      <w:r w:rsidR="00584A4E">
        <w:t xml:space="preserve">if I am satisfied that the appeal routes are </w:t>
      </w:r>
      <w:r w:rsidR="004C4E4C">
        <w:t>reasonably alleged to subsist</w:t>
      </w:r>
      <w:r w:rsidR="00584A4E">
        <w:t xml:space="preserve"> the appeal should be allowed</w:t>
      </w:r>
      <w:r w:rsidR="009D015E">
        <w:t>.</w:t>
      </w:r>
      <w:r w:rsidR="004E23CE">
        <w:t xml:space="preserve"> </w:t>
      </w:r>
      <w:r w:rsidR="00114400" w:rsidRPr="00114400">
        <w:rPr>
          <w:rFonts w:ascii="Arial" w:hAnsi="Arial" w:cs="Arial"/>
          <w:sz w:val="24"/>
          <w:szCs w:val="24"/>
        </w:rPr>
        <w:t>The test for a reasonable allegation to arise is that there is some credible evidence in support and no conclusive evidence against the existence of the claimed right.</w:t>
      </w:r>
    </w:p>
    <w:p w14:paraId="12785250" w14:textId="77777777" w:rsidR="00EE2B80" w:rsidRDefault="00EE2B80" w:rsidP="00EE2B80">
      <w:pPr>
        <w:pStyle w:val="Style1"/>
        <w:tabs>
          <w:tab w:val="num" w:pos="862"/>
          <w:tab w:val="num" w:pos="1430"/>
        </w:tabs>
        <w:ind w:left="426" w:hanging="426"/>
        <w:rPr>
          <w:rFonts w:ascii="Arial" w:hAnsi="Arial" w:cs="Arial"/>
          <w:color w:val="auto"/>
          <w:sz w:val="24"/>
          <w:szCs w:val="24"/>
        </w:rPr>
      </w:pPr>
      <w:r w:rsidRPr="00EE2B80">
        <w:rPr>
          <w:rFonts w:ascii="Arial" w:hAnsi="Arial" w:cs="Arial"/>
          <w:color w:val="auto"/>
          <w:sz w:val="24"/>
          <w:szCs w:val="24"/>
        </w:rPr>
        <w:t xml:space="preserve">The application is supported only by evidence of use. </w:t>
      </w:r>
      <w:r>
        <w:rPr>
          <w:rFonts w:ascii="Arial" w:hAnsi="Arial" w:cs="Arial"/>
          <w:color w:val="auto"/>
          <w:sz w:val="24"/>
          <w:szCs w:val="24"/>
        </w:rPr>
        <w:t xml:space="preserve">Section 31(1) of the Highways Act 1980 provides that  “Where a way over land, other than a way of such a character that use of it by the public could not give rise at common law to any presumption of dedication, has been actually enjoyed by the public as of right and without interruption </w:t>
      </w:r>
      <w:r w:rsidR="00571F36">
        <w:rPr>
          <w:rFonts w:ascii="Arial" w:hAnsi="Arial" w:cs="Arial"/>
          <w:color w:val="auto"/>
          <w:sz w:val="24"/>
          <w:szCs w:val="24"/>
        </w:rPr>
        <w:t>for a full period of 20 years, the way shall be deemed to have been dedicated as a highway unless there is sufficient evidence that there was no intention during that period to dedicate it”.</w:t>
      </w:r>
    </w:p>
    <w:p w14:paraId="2CFA77EB" w14:textId="77777777" w:rsidR="00EE2B80" w:rsidRDefault="00571F36" w:rsidP="00AB5AEB">
      <w:pPr>
        <w:pStyle w:val="Style1"/>
        <w:tabs>
          <w:tab w:val="num" w:pos="862"/>
          <w:tab w:val="num" w:pos="1430"/>
        </w:tabs>
        <w:ind w:left="426" w:hanging="426"/>
        <w:rPr>
          <w:rFonts w:ascii="Arial" w:hAnsi="Arial" w:cs="Arial"/>
          <w:color w:val="auto"/>
          <w:sz w:val="24"/>
          <w:szCs w:val="24"/>
        </w:rPr>
      </w:pPr>
      <w:r>
        <w:rPr>
          <w:rFonts w:ascii="Arial" w:hAnsi="Arial" w:cs="Arial"/>
          <w:color w:val="auto"/>
          <w:sz w:val="24"/>
          <w:szCs w:val="24"/>
        </w:rPr>
        <w:t>An inference of dedication can arise at common law where the evidence is sufficient to infer actual dedication by the landowner. No minimum period of use is required.</w:t>
      </w:r>
    </w:p>
    <w:p w14:paraId="1FD73655" w14:textId="77777777" w:rsidR="00571F36" w:rsidRPr="00571F36" w:rsidRDefault="00571F36" w:rsidP="00571F36">
      <w:pPr>
        <w:pStyle w:val="Style1"/>
        <w:numPr>
          <w:ilvl w:val="0"/>
          <w:numId w:val="0"/>
        </w:numPr>
        <w:tabs>
          <w:tab w:val="num" w:pos="862"/>
          <w:tab w:val="num" w:pos="1430"/>
        </w:tabs>
        <w:rPr>
          <w:rFonts w:ascii="Arial" w:hAnsi="Arial" w:cs="Arial"/>
          <w:b/>
          <w:bCs/>
          <w:color w:val="auto"/>
          <w:sz w:val="24"/>
          <w:szCs w:val="24"/>
        </w:rPr>
      </w:pPr>
      <w:r w:rsidRPr="00571F36">
        <w:rPr>
          <w:rFonts w:ascii="Arial" w:hAnsi="Arial" w:cs="Arial"/>
          <w:b/>
          <w:bCs/>
          <w:color w:val="auto"/>
          <w:sz w:val="24"/>
          <w:szCs w:val="24"/>
        </w:rPr>
        <w:t>Reasons</w:t>
      </w:r>
    </w:p>
    <w:p w14:paraId="1E4C2B0E" w14:textId="77777777" w:rsidR="00571F36" w:rsidRPr="00532186" w:rsidRDefault="00571F36" w:rsidP="00571F36">
      <w:pPr>
        <w:pStyle w:val="Style1"/>
        <w:tabs>
          <w:tab w:val="num" w:pos="862"/>
          <w:tab w:val="num" w:pos="1430"/>
        </w:tabs>
        <w:ind w:left="426" w:hanging="426"/>
        <w:rPr>
          <w:rFonts w:ascii="Arial" w:hAnsi="Arial" w:cs="Arial"/>
          <w:color w:val="auto"/>
          <w:sz w:val="24"/>
          <w:szCs w:val="24"/>
        </w:rPr>
      </w:pPr>
      <w:r w:rsidRPr="00571F36">
        <w:rPr>
          <w:rFonts w:ascii="Arial" w:hAnsi="Arial" w:cs="Arial"/>
          <w:sz w:val="24"/>
          <w:szCs w:val="24"/>
        </w:rPr>
        <w:t>For a</w:t>
      </w:r>
      <w:r w:rsidR="00B05207">
        <w:rPr>
          <w:rFonts w:ascii="Arial" w:hAnsi="Arial" w:cs="Arial"/>
          <w:sz w:val="24"/>
          <w:szCs w:val="24"/>
        </w:rPr>
        <w:t>n order to be made</w:t>
      </w:r>
      <w:r w:rsidRPr="00571F36">
        <w:rPr>
          <w:rFonts w:ascii="Arial" w:hAnsi="Arial" w:cs="Arial"/>
          <w:sz w:val="24"/>
          <w:szCs w:val="24"/>
        </w:rPr>
        <w:t xml:space="preserve"> under section 31(1) </w:t>
      </w:r>
      <w:r w:rsidR="00B05207">
        <w:rPr>
          <w:rFonts w:ascii="Arial" w:hAnsi="Arial" w:cs="Arial"/>
          <w:sz w:val="24"/>
          <w:szCs w:val="24"/>
        </w:rPr>
        <w:t xml:space="preserve">it </w:t>
      </w:r>
      <w:r w:rsidRPr="00571F36">
        <w:rPr>
          <w:rFonts w:ascii="Arial" w:hAnsi="Arial" w:cs="Arial"/>
          <w:sz w:val="24"/>
          <w:szCs w:val="24"/>
        </w:rPr>
        <w:t xml:space="preserve">will be necessary for the evidence to give rise to a reasonable allegation that the appeal routes have been used </w:t>
      </w:r>
      <w:r>
        <w:rPr>
          <w:rFonts w:ascii="Arial" w:hAnsi="Arial" w:cs="Arial"/>
          <w:sz w:val="24"/>
          <w:szCs w:val="24"/>
        </w:rPr>
        <w:t>by the public, for a continuous period of at least 20 years</w:t>
      </w:r>
      <w:r w:rsidR="00B05207">
        <w:rPr>
          <w:rFonts w:ascii="Arial" w:hAnsi="Arial" w:cs="Arial"/>
          <w:sz w:val="24"/>
          <w:szCs w:val="24"/>
        </w:rPr>
        <w:t xml:space="preserve"> and</w:t>
      </w:r>
      <w:r>
        <w:rPr>
          <w:rFonts w:ascii="Arial" w:hAnsi="Arial" w:cs="Arial"/>
          <w:sz w:val="24"/>
          <w:szCs w:val="24"/>
        </w:rPr>
        <w:t xml:space="preserve"> that such use has been undertaken as of right. Even if the Applicant is able to satisfy these requirements the </w:t>
      </w:r>
      <w:r w:rsidR="00532186">
        <w:rPr>
          <w:rFonts w:ascii="Arial" w:hAnsi="Arial" w:cs="Arial"/>
          <w:sz w:val="24"/>
          <w:szCs w:val="24"/>
        </w:rPr>
        <w:t xml:space="preserve">application would still fail if the landowner can establish that during the relevant </w:t>
      </w:r>
      <w:r w:rsidR="00B05207">
        <w:rPr>
          <w:rFonts w:ascii="Arial" w:hAnsi="Arial" w:cs="Arial"/>
          <w:sz w:val="24"/>
          <w:szCs w:val="24"/>
        </w:rPr>
        <w:t>20-year</w:t>
      </w:r>
      <w:r w:rsidR="00532186">
        <w:rPr>
          <w:rFonts w:ascii="Arial" w:hAnsi="Arial" w:cs="Arial"/>
          <w:sz w:val="24"/>
          <w:szCs w:val="24"/>
        </w:rPr>
        <w:t xml:space="preserve"> period a lack of intention to dedicate was demonstrated.</w:t>
      </w:r>
    </w:p>
    <w:p w14:paraId="6B1C7932" w14:textId="77777777" w:rsidR="00532186" w:rsidRPr="00571F36" w:rsidRDefault="00532186" w:rsidP="00532186">
      <w:pPr>
        <w:pStyle w:val="Style1"/>
        <w:numPr>
          <w:ilvl w:val="0"/>
          <w:numId w:val="0"/>
        </w:numPr>
        <w:tabs>
          <w:tab w:val="num" w:pos="1430"/>
        </w:tabs>
        <w:rPr>
          <w:rFonts w:ascii="Arial" w:hAnsi="Arial" w:cs="Arial"/>
          <w:color w:val="auto"/>
          <w:sz w:val="24"/>
          <w:szCs w:val="24"/>
        </w:rPr>
      </w:pPr>
      <w:r>
        <w:rPr>
          <w:rFonts w:ascii="Arial" w:hAnsi="Arial" w:cs="Arial"/>
          <w:sz w:val="24"/>
          <w:szCs w:val="24"/>
        </w:rPr>
        <w:t xml:space="preserve">The </w:t>
      </w:r>
      <w:r w:rsidR="00B05207">
        <w:rPr>
          <w:rFonts w:ascii="Arial" w:hAnsi="Arial" w:cs="Arial"/>
          <w:sz w:val="24"/>
          <w:szCs w:val="24"/>
        </w:rPr>
        <w:t>20-year</w:t>
      </w:r>
      <w:r>
        <w:rPr>
          <w:rFonts w:ascii="Arial" w:hAnsi="Arial" w:cs="Arial"/>
          <w:sz w:val="24"/>
          <w:szCs w:val="24"/>
        </w:rPr>
        <w:t xml:space="preserve"> period</w:t>
      </w:r>
    </w:p>
    <w:p w14:paraId="3E626D73" w14:textId="77777777" w:rsidR="00EE2B80" w:rsidRPr="00532186" w:rsidRDefault="00532186" w:rsidP="00E225CB">
      <w:pPr>
        <w:pStyle w:val="Style1"/>
        <w:ind w:left="432"/>
        <w:rPr>
          <w:rFonts w:ascii="Arial" w:hAnsi="Arial" w:cs="Arial"/>
          <w:i/>
          <w:iCs/>
          <w:sz w:val="24"/>
          <w:szCs w:val="24"/>
        </w:rPr>
      </w:pPr>
      <w:r>
        <w:rPr>
          <w:rFonts w:ascii="Arial" w:hAnsi="Arial" w:cs="Arial"/>
          <w:sz w:val="24"/>
          <w:szCs w:val="24"/>
        </w:rPr>
        <w:t xml:space="preserve">The relevant </w:t>
      </w:r>
      <w:r w:rsidR="00B05207">
        <w:rPr>
          <w:rFonts w:ascii="Arial" w:hAnsi="Arial" w:cs="Arial"/>
          <w:sz w:val="24"/>
          <w:szCs w:val="24"/>
        </w:rPr>
        <w:t>20-year</w:t>
      </w:r>
      <w:r>
        <w:rPr>
          <w:rFonts w:ascii="Arial" w:hAnsi="Arial" w:cs="Arial"/>
          <w:sz w:val="24"/>
          <w:szCs w:val="24"/>
        </w:rPr>
        <w:t xml:space="preserve"> period is calculated retrospectively from the date when the entitlement of the public to use the appeal routes was brought into question. I</w:t>
      </w:r>
      <w:r w:rsidR="00BA65B3">
        <w:rPr>
          <w:rFonts w:ascii="Arial" w:hAnsi="Arial" w:cs="Arial"/>
          <w:sz w:val="24"/>
          <w:szCs w:val="24"/>
        </w:rPr>
        <w:t>n</w:t>
      </w:r>
      <w:r>
        <w:rPr>
          <w:rFonts w:ascii="Arial" w:hAnsi="Arial" w:cs="Arial"/>
          <w:sz w:val="24"/>
          <w:szCs w:val="24"/>
        </w:rPr>
        <w:t xml:space="preserve"> this case there is no evidence of any overt challenge to the right of the public to use the appeal routes. In these circumstances the date of making the application is to be taken as the date of challenge</w:t>
      </w:r>
      <w:r w:rsidR="001C6E2B">
        <w:rPr>
          <w:rFonts w:ascii="Arial" w:hAnsi="Arial" w:cs="Arial"/>
          <w:sz w:val="24"/>
          <w:szCs w:val="24"/>
        </w:rPr>
        <w:t>.</w:t>
      </w:r>
      <w:r>
        <w:rPr>
          <w:rFonts w:ascii="Arial" w:hAnsi="Arial" w:cs="Arial"/>
          <w:sz w:val="24"/>
          <w:szCs w:val="24"/>
        </w:rPr>
        <w:t xml:space="preserve"> The application was made on 22 June 1990 and thus the relevant </w:t>
      </w:r>
      <w:r w:rsidR="00B05207">
        <w:rPr>
          <w:rFonts w:ascii="Arial" w:hAnsi="Arial" w:cs="Arial"/>
          <w:sz w:val="24"/>
          <w:szCs w:val="24"/>
        </w:rPr>
        <w:t>20-year</w:t>
      </w:r>
      <w:r>
        <w:rPr>
          <w:rFonts w:ascii="Arial" w:hAnsi="Arial" w:cs="Arial"/>
          <w:sz w:val="24"/>
          <w:szCs w:val="24"/>
        </w:rPr>
        <w:t xml:space="preserve"> period is 1970 to 1990.</w:t>
      </w:r>
    </w:p>
    <w:p w14:paraId="610D9909" w14:textId="77777777" w:rsidR="00BA65B3" w:rsidRDefault="00BA65B3" w:rsidP="00BA65B3">
      <w:pPr>
        <w:pStyle w:val="Style1"/>
        <w:numPr>
          <w:ilvl w:val="0"/>
          <w:numId w:val="0"/>
        </w:numPr>
        <w:rPr>
          <w:rFonts w:ascii="Arial" w:hAnsi="Arial" w:cs="Arial"/>
          <w:sz w:val="24"/>
          <w:szCs w:val="24"/>
        </w:rPr>
      </w:pPr>
    </w:p>
    <w:p w14:paraId="61B4DA50" w14:textId="77777777" w:rsidR="00532186" w:rsidRPr="00EE2B80" w:rsidRDefault="00BA65B3" w:rsidP="00BA65B3">
      <w:pPr>
        <w:pStyle w:val="Style1"/>
        <w:numPr>
          <w:ilvl w:val="0"/>
          <w:numId w:val="0"/>
        </w:numPr>
        <w:rPr>
          <w:rFonts w:ascii="Arial" w:hAnsi="Arial" w:cs="Arial"/>
          <w:i/>
          <w:iCs/>
          <w:sz w:val="24"/>
          <w:szCs w:val="24"/>
        </w:rPr>
      </w:pPr>
      <w:r>
        <w:rPr>
          <w:rFonts w:ascii="Arial" w:hAnsi="Arial" w:cs="Arial"/>
          <w:sz w:val="24"/>
          <w:szCs w:val="24"/>
        </w:rPr>
        <w:lastRenderedPageBreak/>
        <w:t>Use by the public</w:t>
      </w:r>
      <w:r w:rsidR="00CE21BE">
        <w:rPr>
          <w:rFonts w:ascii="Arial" w:hAnsi="Arial" w:cs="Arial"/>
          <w:sz w:val="24"/>
          <w:szCs w:val="24"/>
        </w:rPr>
        <w:t xml:space="preserve"> for a full </w:t>
      </w:r>
      <w:r w:rsidR="00B05207">
        <w:rPr>
          <w:rFonts w:ascii="Arial" w:hAnsi="Arial" w:cs="Arial"/>
          <w:sz w:val="24"/>
          <w:szCs w:val="24"/>
        </w:rPr>
        <w:t>20-year</w:t>
      </w:r>
      <w:r w:rsidR="00CE21BE">
        <w:rPr>
          <w:rFonts w:ascii="Arial" w:hAnsi="Arial" w:cs="Arial"/>
          <w:sz w:val="24"/>
          <w:szCs w:val="24"/>
        </w:rPr>
        <w:t xml:space="preserve"> period.</w:t>
      </w:r>
    </w:p>
    <w:p w14:paraId="72282C6A" w14:textId="77777777" w:rsidR="00EE2B80" w:rsidRPr="00BA65B3" w:rsidRDefault="00BA65B3" w:rsidP="00E225CB">
      <w:pPr>
        <w:pStyle w:val="Style1"/>
        <w:ind w:left="432"/>
        <w:rPr>
          <w:rFonts w:ascii="Arial" w:hAnsi="Arial" w:cs="Arial"/>
          <w:i/>
          <w:iCs/>
          <w:sz w:val="24"/>
          <w:szCs w:val="24"/>
        </w:rPr>
      </w:pPr>
      <w:r>
        <w:rPr>
          <w:rFonts w:ascii="Arial" w:hAnsi="Arial" w:cs="Arial"/>
          <w:color w:val="auto"/>
          <w:sz w:val="24"/>
          <w:szCs w:val="24"/>
        </w:rPr>
        <w:t xml:space="preserve">Use must be by a sufficient number of individuals to represent use by the public. There is no </w:t>
      </w:r>
      <w:r w:rsidR="00B05207">
        <w:rPr>
          <w:rFonts w:ascii="Arial" w:hAnsi="Arial" w:cs="Arial"/>
          <w:color w:val="auto"/>
          <w:sz w:val="24"/>
          <w:szCs w:val="24"/>
        </w:rPr>
        <w:t xml:space="preserve">requirement for a </w:t>
      </w:r>
      <w:r>
        <w:rPr>
          <w:rFonts w:ascii="Arial" w:hAnsi="Arial" w:cs="Arial"/>
          <w:color w:val="auto"/>
          <w:sz w:val="24"/>
          <w:szCs w:val="24"/>
        </w:rPr>
        <w:t xml:space="preserve">minimum number </w:t>
      </w:r>
      <w:r w:rsidR="00B05207">
        <w:rPr>
          <w:rFonts w:ascii="Arial" w:hAnsi="Arial" w:cs="Arial"/>
          <w:color w:val="auto"/>
          <w:sz w:val="24"/>
          <w:szCs w:val="24"/>
        </w:rPr>
        <w:t xml:space="preserve">of users </w:t>
      </w:r>
      <w:r>
        <w:rPr>
          <w:rFonts w:ascii="Arial" w:hAnsi="Arial" w:cs="Arial"/>
          <w:color w:val="auto"/>
          <w:sz w:val="24"/>
          <w:szCs w:val="24"/>
        </w:rPr>
        <w:t xml:space="preserve">and what is appropriate can vary according to the context and circumstances of the case. There is </w:t>
      </w:r>
      <w:r w:rsidR="00B05207">
        <w:rPr>
          <w:rFonts w:ascii="Arial" w:hAnsi="Arial" w:cs="Arial"/>
          <w:color w:val="auto"/>
          <w:sz w:val="24"/>
          <w:szCs w:val="24"/>
        </w:rPr>
        <w:t xml:space="preserve">however </w:t>
      </w:r>
      <w:r>
        <w:rPr>
          <w:rFonts w:ascii="Arial" w:hAnsi="Arial" w:cs="Arial"/>
          <w:color w:val="auto"/>
          <w:sz w:val="24"/>
          <w:szCs w:val="24"/>
        </w:rPr>
        <w:t xml:space="preserve">a requirement that the appeal routes have been used sufficiently throughout the full </w:t>
      </w:r>
      <w:r w:rsidR="00B05207">
        <w:rPr>
          <w:rFonts w:ascii="Arial" w:hAnsi="Arial" w:cs="Arial"/>
          <w:color w:val="auto"/>
          <w:sz w:val="24"/>
          <w:szCs w:val="24"/>
        </w:rPr>
        <w:t>20-year</w:t>
      </w:r>
      <w:r>
        <w:rPr>
          <w:rFonts w:ascii="Arial" w:hAnsi="Arial" w:cs="Arial"/>
          <w:color w:val="auto"/>
          <w:sz w:val="24"/>
          <w:szCs w:val="24"/>
        </w:rPr>
        <w:t xml:space="preserve"> period, but there is no requirement for individuals to have used the routes for the whole period.</w:t>
      </w:r>
    </w:p>
    <w:p w14:paraId="0A3CDA4B" w14:textId="77777777" w:rsidR="00BA65B3" w:rsidRPr="00BA65B3" w:rsidRDefault="00BA65B3" w:rsidP="008D7244">
      <w:pPr>
        <w:pStyle w:val="Style1"/>
        <w:ind w:left="432"/>
        <w:rPr>
          <w:rFonts w:ascii="Arial" w:hAnsi="Arial" w:cs="Arial"/>
          <w:i/>
          <w:iCs/>
          <w:sz w:val="24"/>
          <w:szCs w:val="24"/>
        </w:rPr>
      </w:pPr>
      <w:r w:rsidRPr="00BA65B3">
        <w:rPr>
          <w:rFonts w:ascii="Arial" w:hAnsi="Arial" w:cs="Arial"/>
          <w:color w:val="auto"/>
          <w:sz w:val="24"/>
          <w:szCs w:val="24"/>
        </w:rPr>
        <w:t>The</w:t>
      </w:r>
      <w:r w:rsidR="0014032A">
        <w:rPr>
          <w:rFonts w:ascii="Arial" w:hAnsi="Arial" w:cs="Arial"/>
          <w:color w:val="auto"/>
          <w:sz w:val="24"/>
          <w:szCs w:val="24"/>
        </w:rPr>
        <w:t>re</w:t>
      </w:r>
      <w:r w:rsidRPr="00BA65B3">
        <w:rPr>
          <w:rFonts w:ascii="Arial" w:hAnsi="Arial" w:cs="Arial"/>
          <w:color w:val="auto"/>
          <w:sz w:val="24"/>
          <w:szCs w:val="24"/>
        </w:rPr>
        <w:t xml:space="preserve"> are two elements to the appeal routes, the principal route, A to B and the cul-de-sac spur C to D. The evidence of use of the two elements differs and I shall consider separately the sufficiency of the evidence for each.</w:t>
      </w:r>
    </w:p>
    <w:p w14:paraId="5B8F256B" w14:textId="77777777" w:rsidR="00BA65B3" w:rsidRPr="00B46C27" w:rsidRDefault="00BA65B3" w:rsidP="008D7244">
      <w:pPr>
        <w:pStyle w:val="Style1"/>
        <w:ind w:left="432"/>
        <w:rPr>
          <w:rFonts w:ascii="Arial" w:hAnsi="Arial" w:cs="Arial"/>
          <w:i/>
          <w:iCs/>
          <w:sz w:val="24"/>
          <w:szCs w:val="24"/>
        </w:rPr>
      </w:pPr>
      <w:r>
        <w:rPr>
          <w:rFonts w:ascii="Arial" w:hAnsi="Arial" w:cs="Arial"/>
          <w:color w:val="auto"/>
          <w:sz w:val="24"/>
          <w:szCs w:val="24"/>
        </w:rPr>
        <w:t xml:space="preserve">The user evidence comprises completed user evidence forms, some </w:t>
      </w:r>
      <w:r w:rsidR="00F4285B">
        <w:rPr>
          <w:rFonts w:ascii="Arial" w:hAnsi="Arial" w:cs="Arial"/>
          <w:color w:val="auto"/>
          <w:sz w:val="24"/>
          <w:szCs w:val="24"/>
        </w:rPr>
        <w:t>submitted with the original application in 1990 and some subsequently. The evidence is not all easy to interpret. The forms submitted with the original application do not have accompanying maps because of which it is difficult to be certain as to the precise route the witness is referring to having used. A further batch of forms have been copied on one side only, thus omitting the answers to certain questions. These factors make it difficult for me to reach firm conclusions about the extent of use, but I am mindful that at this stage, for the reasons outlined above, it is only necessary for me to find that the evidence gives rise to a reasonable allegation.</w:t>
      </w:r>
    </w:p>
    <w:p w14:paraId="1D9B603A" w14:textId="77777777" w:rsidR="00463E8D" w:rsidRPr="00B46C27" w:rsidRDefault="00D22ED5" w:rsidP="00B46C27">
      <w:pPr>
        <w:pStyle w:val="Style1"/>
        <w:ind w:left="432"/>
        <w:rPr>
          <w:rFonts w:ascii="Arial" w:hAnsi="Arial" w:cs="Arial"/>
          <w:i/>
          <w:iCs/>
          <w:sz w:val="24"/>
          <w:szCs w:val="24"/>
        </w:rPr>
      </w:pPr>
      <w:r>
        <w:t>The report considered by SCC when refusing the application place</w:t>
      </w:r>
      <w:r w:rsidR="00584A4E">
        <w:t>s</w:t>
      </w:r>
      <w:r>
        <w:t xml:space="preserve"> undue weight upon whether or not </w:t>
      </w:r>
      <w:r w:rsidR="00B05207">
        <w:t>individual</w:t>
      </w:r>
      <w:r>
        <w:t xml:space="preserve"> witness</w:t>
      </w:r>
      <w:r w:rsidR="0014032A">
        <w:t>es</w:t>
      </w:r>
      <w:r>
        <w:t xml:space="preserve"> used the route in question for the full period </w:t>
      </w:r>
      <w:r w:rsidR="0014032A">
        <w:t xml:space="preserve">20-year period </w:t>
      </w:r>
      <w:r>
        <w:t>1970 to 1990</w:t>
      </w:r>
      <w:r w:rsidR="00B05207">
        <w:t>. One</w:t>
      </w:r>
      <w:r>
        <w:t xml:space="preserve"> example </w:t>
      </w:r>
      <w:r w:rsidR="00B05207">
        <w:t>is at</w:t>
      </w:r>
      <w:r w:rsidR="00463E8D">
        <w:t xml:space="preserve"> </w:t>
      </w:r>
      <w:r>
        <w:t>paragraph 20 wh</w:t>
      </w:r>
      <w:r w:rsidR="0014032A">
        <w:t>ere it is</w:t>
      </w:r>
      <w:r>
        <w:t xml:space="preserve"> s</w:t>
      </w:r>
      <w:r w:rsidR="00463E8D">
        <w:t>tate</w:t>
      </w:r>
      <w:r w:rsidR="0014032A">
        <w:t>d</w:t>
      </w:r>
      <w:r>
        <w:t xml:space="preserve"> “</w:t>
      </w:r>
      <w:r w:rsidR="00463E8D" w:rsidRPr="00B46C27">
        <w:rPr>
          <w:rFonts w:ascii="Arial" w:hAnsi="Arial" w:cs="Arial"/>
          <w:i/>
          <w:iCs/>
          <w:color w:val="auto"/>
          <w:sz w:val="24"/>
          <w:szCs w:val="24"/>
        </w:rPr>
        <w:t>User 11 claims to have used the alleged route from 1938 - 1988, which</w:t>
      </w:r>
      <w:r w:rsidR="00463E8D" w:rsidRPr="00B46C27">
        <w:rPr>
          <w:rFonts w:ascii="Arial" w:hAnsi="Arial" w:cs="Arial"/>
          <w:i/>
          <w:iCs/>
          <w:sz w:val="24"/>
          <w:szCs w:val="24"/>
        </w:rPr>
        <w:t xml:space="preserve"> </w:t>
      </w:r>
      <w:r w:rsidR="00463E8D" w:rsidRPr="00B46C27">
        <w:rPr>
          <w:rFonts w:ascii="Arial" w:hAnsi="Arial" w:cs="Arial"/>
          <w:i/>
          <w:iCs/>
          <w:color w:val="auto"/>
          <w:sz w:val="24"/>
          <w:szCs w:val="24"/>
        </w:rPr>
        <w:t>exceeds twenty years but does not cover the relevant twenty year</w:t>
      </w:r>
      <w:r w:rsidR="00463E8D" w:rsidRPr="00B46C27">
        <w:rPr>
          <w:rFonts w:ascii="Arial" w:hAnsi="Arial" w:cs="Arial"/>
          <w:i/>
          <w:iCs/>
          <w:sz w:val="24"/>
          <w:szCs w:val="24"/>
        </w:rPr>
        <w:t xml:space="preserve"> </w:t>
      </w:r>
      <w:r w:rsidR="00463E8D" w:rsidRPr="00B46C27">
        <w:rPr>
          <w:rFonts w:ascii="Arial" w:hAnsi="Arial" w:cs="Arial"/>
          <w:i/>
          <w:iCs/>
          <w:color w:val="auto"/>
          <w:sz w:val="24"/>
          <w:szCs w:val="24"/>
        </w:rPr>
        <w:t>period”.</w:t>
      </w:r>
      <w:r w:rsidR="00463E8D" w:rsidRPr="00B46C27">
        <w:rPr>
          <w:rFonts w:ascii="Arial" w:hAnsi="Arial" w:cs="Arial"/>
          <w:color w:val="auto"/>
          <w:sz w:val="24"/>
          <w:szCs w:val="24"/>
        </w:rPr>
        <w:t xml:space="preserve"> Whilst what is said is strictly correct, it does not give credit for the fact that the user does give evidence of 18 years’ use within the relevant period. Similarly at paragraph 21</w:t>
      </w:r>
      <w:r w:rsidR="0014032A">
        <w:rPr>
          <w:rFonts w:ascii="Arial" w:hAnsi="Arial" w:cs="Arial"/>
          <w:color w:val="auto"/>
          <w:sz w:val="24"/>
          <w:szCs w:val="24"/>
        </w:rPr>
        <w:t>,</w:t>
      </w:r>
      <w:r w:rsidR="00463E8D" w:rsidRPr="00B46C27">
        <w:rPr>
          <w:rFonts w:ascii="Arial" w:hAnsi="Arial" w:cs="Arial"/>
          <w:color w:val="auto"/>
          <w:sz w:val="24"/>
          <w:szCs w:val="24"/>
        </w:rPr>
        <w:t xml:space="preserve"> “</w:t>
      </w:r>
      <w:r w:rsidR="00463E8D" w:rsidRPr="00B46C27">
        <w:rPr>
          <w:rFonts w:ascii="Arial" w:hAnsi="Arial" w:cs="Arial"/>
          <w:i/>
          <w:iCs/>
          <w:color w:val="auto"/>
          <w:sz w:val="24"/>
          <w:szCs w:val="24"/>
        </w:rPr>
        <w:t>User 22 alleges to have used the route from points A to B but not C to D.</w:t>
      </w:r>
      <w:r w:rsidR="00463E8D" w:rsidRPr="00B46C27">
        <w:rPr>
          <w:rFonts w:ascii="Arial" w:hAnsi="Arial" w:cs="Arial"/>
          <w:i/>
          <w:iCs/>
          <w:sz w:val="24"/>
          <w:szCs w:val="24"/>
        </w:rPr>
        <w:t xml:space="preserve"> </w:t>
      </w:r>
      <w:r w:rsidR="00463E8D" w:rsidRPr="00B46C27">
        <w:rPr>
          <w:rFonts w:ascii="Arial" w:hAnsi="Arial" w:cs="Arial"/>
          <w:i/>
          <w:iCs/>
          <w:color w:val="auto"/>
          <w:sz w:val="24"/>
          <w:szCs w:val="24"/>
        </w:rPr>
        <w:t>They state to have used the route in the previous 10 years, which would</w:t>
      </w:r>
      <w:r w:rsidR="00463E8D" w:rsidRPr="00B46C27">
        <w:rPr>
          <w:rFonts w:ascii="Arial" w:hAnsi="Arial" w:cs="Arial"/>
          <w:i/>
          <w:iCs/>
          <w:sz w:val="24"/>
          <w:szCs w:val="24"/>
        </w:rPr>
        <w:t xml:space="preserve"> </w:t>
      </w:r>
      <w:r w:rsidR="00463E8D" w:rsidRPr="00B46C27">
        <w:rPr>
          <w:rFonts w:ascii="Arial" w:hAnsi="Arial" w:cs="Arial"/>
          <w:i/>
          <w:iCs/>
          <w:color w:val="auto"/>
          <w:sz w:val="24"/>
          <w:szCs w:val="24"/>
        </w:rPr>
        <w:t>be from 1980 - 1990, which does not meet the requisite 20-year period</w:t>
      </w:r>
      <w:r w:rsidR="00463E8D" w:rsidRPr="00B46C27">
        <w:rPr>
          <w:rFonts w:ascii="Arial" w:hAnsi="Arial" w:cs="Arial"/>
          <w:color w:val="auto"/>
          <w:sz w:val="24"/>
          <w:szCs w:val="24"/>
        </w:rPr>
        <w:t>.” Again, this would seem to dismiss the relevance of 10 years qualifying use for the period 1980 to 1990.</w:t>
      </w:r>
      <w:r w:rsidR="00B46C27" w:rsidRPr="00B46C27">
        <w:rPr>
          <w:rFonts w:ascii="Arial" w:hAnsi="Arial" w:cs="Arial"/>
          <w:color w:val="auto"/>
          <w:sz w:val="24"/>
          <w:szCs w:val="24"/>
        </w:rPr>
        <w:t xml:space="preserve"> In the summary the author of the report says at paragraph 78 “</w:t>
      </w:r>
      <w:r w:rsidR="00B46C27" w:rsidRPr="00B46C27">
        <w:rPr>
          <w:rFonts w:ascii="Arial" w:hAnsi="Arial" w:cs="Arial"/>
          <w:i/>
          <w:iCs/>
          <w:color w:val="auto"/>
          <w:sz w:val="24"/>
          <w:szCs w:val="24"/>
        </w:rPr>
        <w:t>In relation to the section marked A to B on the map, a significant number of people have provided evidence that they have used the route, however none of the users can show that they have used the route for the full relevant twenty year period and none of the users provided evidence that they used the route on a regular basis.”</w:t>
      </w:r>
    </w:p>
    <w:p w14:paraId="6CC74930" w14:textId="77777777" w:rsidR="00B46C27" w:rsidRPr="00AE2988" w:rsidRDefault="00B46C27" w:rsidP="00B46C27">
      <w:pPr>
        <w:pStyle w:val="Style1"/>
        <w:ind w:left="432"/>
        <w:rPr>
          <w:rFonts w:ascii="Arial" w:hAnsi="Arial" w:cs="Arial"/>
          <w:i/>
          <w:iCs/>
          <w:sz w:val="24"/>
          <w:szCs w:val="24"/>
        </w:rPr>
      </w:pPr>
      <w:r>
        <w:rPr>
          <w:rFonts w:ascii="Arial" w:hAnsi="Arial" w:cs="Arial"/>
          <w:sz w:val="24"/>
          <w:szCs w:val="24"/>
        </w:rPr>
        <w:t>There is no requirement for a user to have used the appeal route or routes for the whole 20-year period</w:t>
      </w:r>
      <w:r w:rsidR="00AE2988">
        <w:rPr>
          <w:rFonts w:ascii="Arial" w:hAnsi="Arial" w:cs="Arial"/>
          <w:sz w:val="24"/>
          <w:szCs w:val="24"/>
        </w:rPr>
        <w:t>. All use within the relevant 20-year period is relevant to an assessment of whether the routes have been used by the public.</w:t>
      </w:r>
    </w:p>
    <w:p w14:paraId="344FB884" w14:textId="77777777" w:rsidR="00AE2988" w:rsidRPr="00AE2988" w:rsidRDefault="00AE2988" w:rsidP="00B46C27">
      <w:pPr>
        <w:pStyle w:val="Style1"/>
        <w:ind w:left="432"/>
        <w:rPr>
          <w:rFonts w:ascii="Arial" w:hAnsi="Arial" w:cs="Arial"/>
          <w:i/>
          <w:iCs/>
          <w:sz w:val="24"/>
          <w:szCs w:val="24"/>
        </w:rPr>
      </w:pPr>
      <w:r>
        <w:rPr>
          <w:rFonts w:ascii="Arial" w:hAnsi="Arial" w:cs="Arial"/>
          <w:sz w:val="24"/>
          <w:szCs w:val="24"/>
        </w:rPr>
        <w:t>The evidence of use of the section A to B is significantly greater numerically than that of C to D. A number of the witnesses who attest to having used the route A to B state that they have done so for long periods</w:t>
      </w:r>
      <w:r w:rsidR="005A433A">
        <w:rPr>
          <w:rFonts w:ascii="Arial" w:hAnsi="Arial" w:cs="Arial"/>
          <w:sz w:val="24"/>
          <w:szCs w:val="24"/>
        </w:rPr>
        <w:t>,</w:t>
      </w:r>
      <w:r>
        <w:rPr>
          <w:rFonts w:ascii="Arial" w:hAnsi="Arial" w:cs="Arial"/>
          <w:sz w:val="24"/>
          <w:szCs w:val="24"/>
        </w:rPr>
        <w:t xml:space="preserve"> with six </w:t>
      </w:r>
      <w:r w:rsidR="005A433A">
        <w:rPr>
          <w:rFonts w:ascii="Arial" w:hAnsi="Arial" w:cs="Arial"/>
          <w:sz w:val="24"/>
          <w:szCs w:val="24"/>
        </w:rPr>
        <w:t>stating upwards of 50 years use and a number more than 20 years, although not corresponding directly with the 20-year period under consideration</w:t>
      </w:r>
      <w:r w:rsidR="007E33E1">
        <w:rPr>
          <w:rFonts w:ascii="Arial" w:hAnsi="Arial" w:cs="Arial"/>
          <w:sz w:val="24"/>
          <w:szCs w:val="24"/>
        </w:rPr>
        <w:t>. A number of the users who have used the route for a long time have done so infrequently, but there are long users whose use is described as ‘regular’, ‘often’ or ‘very often’.</w:t>
      </w:r>
    </w:p>
    <w:p w14:paraId="71666004" w14:textId="77777777" w:rsidR="00AE2988" w:rsidRPr="00B46C27" w:rsidRDefault="00AE2988" w:rsidP="00B46C27">
      <w:pPr>
        <w:pStyle w:val="Style1"/>
        <w:ind w:left="432"/>
        <w:rPr>
          <w:rFonts w:ascii="Arial" w:hAnsi="Arial" w:cs="Arial"/>
          <w:i/>
          <w:iCs/>
          <w:sz w:val="24"/>
          <w:szCs w:val="24"/>
        </w:rPr>
      </w:pPr>
      <w:r>
        <w:rPr>
          <w:rFonts w:ascii="Arial" w:hAnsi="Arial" w:cs="Arial"/>
          <w:sz w:val="24"/>
          <w:szCs w:val="24"/>
        </w:rPr>
        <w:t xml:space="preserve">Recognising that the quality of the user evidence is imperfect, I am satisfied that there is sufficient evidence of use </w:t>
      </w:r>
      <w:r w:rsidR="005A433A">
        <w:rPr>
          <w:rFonts w:ascii="Arial" w:hAnsi="Arial" w:cs="Arial"/>
          <w:sz w:val="24"/>
          <w:szCs w:val="24"/>
        </w:rPr>
        <w:t xml:space="preserve">of the route A to B </w:t>
      </w:r>
      <w:r>
        <w:rPr>
          <w:rFonts w:ascii="Arial" w:hAnsi="Arial" w:cs="Arial"/>
          <w:sz w:val="24"/>
          <w:szCs w:val="24"/>
        </w:rPr>
        <w:t xml:space="preserve">throughout the </w:t>
      </w:r>
      <w:r w:rsidR="00B05207">
        <w:rPr>
          <w:rFonts w:ascii="Arial" w:hAnsi="Arial" w:cs="Arial"/>
          <w:sz w:val="24"/>
          <w:szCs w:val="24"/>
        </w:rPr>
        <w:t>20-year</w:t>
      </w:r>
      <w:r>
        <w:rPr>
          <w:rFonts w:ascii="Arial" w:hAnsi="Arial" w:cs="Arial"/>
          <w:sz w:val="24"/>
          <w:szCs w:val="24"/>
        </w:rPr>
        <w:t xml:space="preserve"> </w:t>
      </w:r>
      <w:r w:rsidR="005A433A">
        <w:rPr>
          <w:rFonts w:ascii="Arial" w:hAnsi="Arial" w:cs="Arial"/>
          <w:sz w:val="24"/>
          <w:szCs w:val="24"/>
        </w:rPr>
        <w:t xml:space="preserve">period </w:t>
      </w:r>
      <w:r w:rsidR="005A433A">
        <w:rPr>
          <w:rFonts w:ascii="Arial" w:hAnsi="Arial" w:cs="Arial"/>
          <w:sz w:val="24"/>
          <w:szCs w:val="24"/>
        </w:rPr>
        <w:lastRenderedPageBreak/>
        <w:t xml:space="preserve">for me to find that the cumulative value is sufficient to amount to a reasonable allegation of use by the public. </w:t>
      </w:r>
    </w:p>
    <w:p w14:paraId="7F7E5EE7" w14:textId="77777777" w:rsidR="00463E8D" w:rsidRPr="00F0798D" w:rsidRDefault="00463E8D" w:rsidP="00463E8D">
      <w:pPr>
        <w:pStyle w:val="Style1"/>
        <w:ind w:left="432"/>
        <w:rPr>
          <w:rFonts w:ascii="Arial" w:hAnsi="Arial" w:cs="Arial"/>
          <w:i/>
          <w:iCs/>
          <w:sz w:val="24"/>
          <w:szCs w:val="24"/>
        </w:rPr>
      </w:pPr>
      <w:r>
        <w:rPr>
          <w:rFonts w:ascii="Arial" w:hAnsi="Arial" w:cs="Arial"/>
          <w:color w:val="auto"/>
          <w:sz w:val="24"/>
          <w:szCs w:val="24"/>
        </w:rPr>
        <w:t xml:space="preserve">The </w:t>
      </w:r>
      <w:r w:rsidR="005A433A">
        <w:rPr>
          <w:rFonts w:ascii="Arial" w:hAnsi="Arial" w:cs="Arial"/>
          <w:color w:val="auto"/>
          <w:sz w:val="24"/>
          <w:szCs w:val="24"/>
        </w:rPr>
        <w:t xml:space="preserve">evidence of use of the section C to D is substantially less than for A to B, although the nature of the user evidence forms is such that it is not readily apparent that witnesses are necessarily saying that whilst they used A to B, they did not use </w:t>
      </w:r>
      <w:r w:rsidR="00B05207">
        <w:rPr>
          <w:rFonts w:ascii="Arial" w:hAnsi="Arial" w:cs="Arial"/>
          <w:color w:val="auto"/>
          <w:sz w:val="24"/>
          <w:szCs w:val="24"/>
        </w:rPr>
        <w:t>C</w:t>
      </w:r>
      <w:r w:rsidR="005A433A">
        <w:rPr>
          <w:rFonts w:ascii="Arial" w:hAnsi="Arial" w:cs="Arial"/>
          <w:color w:val="auto"/>
          <w:sz w:val="24"/>
          <w:szCs w:val="24"/>
        </w:rPr>
        <w:t xml:space="preserve"> to </w:t>
      </w:r>
      <w:r w:rsidR="00B05207">
        <w:rPr>
          <w:rFonts w:ascii="Arial" w:hAnsi="Arial" w:cs="Arial"/>
          <w:color w:val="auto"/>
          <w:sz w:val="24"/>
          <w:szCs w:val="24"/>
        </w:rPr>
        <w:t>D</w:t>
      </w:r>
      <w:r w:rsidR="005A433A">
        <w:rPr>
          <w:rFonts w:ascii="Arial" w:hAnsi="Arial" w:cs="Arial"/>
          <w:color w:val="auto"/>
          <w:sz w:val="24"/>
          <w:szCs w:val="24"/>
        </w:rPr>
        <w:t xml:space="preserve">. </w:t>
      </w:r>
      <w:r w:rsidR="004E23CE">
        <w:rPr>
          <w:rFonts w:ascii="Arial" w:hAnsi="Arial" w:cs="Arial"/>
          <w:color w:val="auto"/>
          <w:sz w:val="24"/>
          <w:szCs w:val="24"/>
        </w:rPr>
        <w:t>The</w:t>
      </w:r>
      <w:r w:rsidR="0014032A">
        <w:rPr>
          <w:rFonts w:ascii="Arial" w:hAnsi="Arial" w:cs="Arial"/>
          <w:color w:val="auto"/>
          <w:sz w:val="24"/>
          <w:szCs w:val="24"/>
        </w:rPr>
        <w:t xml:space="preserve"> evidential threshold to give rise to a r</w:t>
      </w:r>
      <w:r w:rsidR="004E23CE">
        <w:rPr>
          <w:rFonts w:ascii="Arial" w:hAnsi="Arial" w:cs="Arial"/>
          <w:color w:val="auto"/>
          <w:sz w:val="24"/>
          <w:szCs w:val="24"/>
        </w:rPr>
        <w:t>easonable allegation is low and whilst the evidence of use of this section would not be sufficient to satisfy me on a balance of probabilities</w:t>
      </w:r>
      <w:r w:rsidR="00F0798D">
        <w:rPr>
          <w:rFonts w:ascii="Arial" w:hAnsi="Arial" w:cs="Arial"/>
          <w:color w:val="auto"/>
          <w:sz w:val="24"/>
          <w:szCs w:val="24"/>
        </w:rPr>
        <w:t xml:space="preserve">, </w:t>
      </w:r>
      <w:r w:rsidR="0014032A">
        <w:rPr>
          <w:rFonts w:ascii="Arial" w:hAnsi="Arial" w:cs="Arial"/>
          <w:color w:val="auto"/>
          <w:sz w:val="24"/>
          <w:szCs w:val="24"/>
        </w:rPr>
        <w:t>it is sufficient to demonstrate that the</w:t>
      </w:r>
      <w:r w:rsidR="00F0798D">
        <w:rPr>
          <w:rFonts w:ascii="Arial" w:hAnsi="Arial" w:cs="Arial"/>
          <w:color w:val="auto"/>
          <w:sz w:val="24"/>
          <w:szCs w:val="24"/>
        </w:rPr>
        <w:t xml:space="preserve"> public</w:t>
      </w:r>
      <w:r w:rsidR="0014032A">
        <w:rPr>
          <w:rFonts w:ascii="Arial" w:hAnsi="Arial" w:cs="Arial"/>
          <w:color w:val="auto"/>
          <w:sz w:val="24"/>
          <w:szCs w:val="24"/>
        </w:rPr>
        <w:t xml:space="preserve"> did</w:t>
      </w:r>
      <w:r w:rsidR="00F0798D">
        <w:rPr>
          <w:rFonts w:ascii="Arial" w:hAnsi="Arial" w:cs="Arial"/>
          <w:color w:val="auto"/>
          <w:sz w:val="24"/>
          <w:szCs w:val="24"/>
        </w:rPr>
        <w:t xml:space="preserve"> use this route and there is no incontrovertible evidence to </w:t>
      </w:r>
      <w:r w:rsidR="0014032A">
        <w:rPr>
          <w:rFonts w:ascii="Arial" w:hAnsi="Arial" w:cs="Arial"/>
          <w:color w:val="auto"/>
          <w:sz w:val="24"/>
          <w:szCs w:val="24"/>
        </w:rPr>
        <w:t xml:space="preserve">suggest to </w:t>
      </w:r>
      <w:r w:rsidR="00F0798D">
        <w:rPr>
          <w:rFonts w:ascii="Arial" w:hAnsi="Arial" w:cs="Arial"/>
          <w:color w:val="auto"/>
          <w:sz w:val="24"/>
          <w:szCs w:val="24"/>
        </w:rPr>
        <w:t>the contrary. On this basis I</w:t>
      </w:r>
      <w:r w:rsidR="004E23CE">
        <w:rPr>
          <w:rFonts w:ascii="Arial" w:hAnsi="Arial" w:cs="Arial"/>
          <w:color w:val="auto"/>
          <w:sz w:val="24"/>
          <w:szCs w:val="24"/>
        </w:rPr>
        <w:t xml:space="preserve"> find that</w:t>
      </w:r>
      <w:r w:rsidR="00F0798D">
        <w:rPr>
          <w:rFonts w:ascii="Arial" w:hAnsi="Arial" w:cs="Arial"/>
          <w:color w:val="auto"/>
          <w:sz w:val="24"/>
          <w:szCs w:val="24"/>
        </w:rPr>
        <w:t xml:space="preserve"> the extent of use of the section C to D is sufficient</w:t>
      </w:r>
      <w:r w:rsidR="0014032A">
        <w:rPr>
          <w:rFonts w:ascii="Arial" w:hAnsi="Arial" w:cs="Arial"/>
          <w:color w:val="auto"/>
          <w:sz w:val="24"/>
          <w:szCs w:val="24"/>
        </w:rPr>
        <w:t xml:space="preserve"> to satisfy the reasonable allegation test</w:t>
      </w:r>
      <w:r w:rsidR="00F0798D">
        <w:rPr>
          <w:rFonts w:ascii="Arial" w:hAnsi="Arial" w:cs="Arial"/>
          <w:color w:val="auto"/>
          <w:sz w:val="24"/>
          <w:szCs w:val="24"/>
        </w:rPr>
        <w:t xml:space="preserve">. </w:t>
      </w:r>
    </w:p>
    <w:p w14:paraId="2E0BC206" w14:textId="77777777" w:rsidR="00F0798D" w:rsidRPr="00F0798D" w:rsidRDefault="00F0798D" w:rsidP="00F0798D">
      <w:pPr>
        <w:pStyle w:val="Style1"/>
        <w:numPr>
          <w:ilvl w:val="0"/>
          <w:numId w:val="0"/>
        </w:numPr>
        <w:rPr>
          <w:rFonts w:ascii="Arial" w:hAnsi="Arial" w:cs="Arial"/>
          <w:i/>
          <w:iCs/>
          <w:sz w:val="24"/>
          <w:szCs w:val="24"/>
        </w:rPr>
      </w:pPr>
      <w:r>
        <w:rPr>
          <w:rFonts w:ascii="Arial" w:hAnsi="Arial" w:cs="Arial"/>
          <w:color w:val="auto"/>
          <w:sz w:val="24"/>
          <w:szCs w:val="24"/>
        </w:rPr>
        <w:t>Use as of right</w:t>
      </w:r>
    </w:p>
    <w:p w14:paraId="141F2EA2" w14:textId="77777777" w:rsidR="004F65E6" w:rsidRPr="004F65E6" w:rsidRDefault="007E33E1" w:rsidP="00463E8D">
      <w:pPr>
        <w:pStyle w:val="Style1"/>
        <w:ind w:left="432"/>
        <w:rPr>
          <w:rFonts w:ascii="Arial" w:hAnsi="Arial" w:cs="Arial"/>
          <w:i/>
          <w:iCs/>
          <w:sz w:val="24"/>
          <w:szCs w:val="24"/>
        </w:rPr>
      </w:pPr>
      <w:r>
        <w:rPr>
          <w:rFonts w:ascii="Arial" w:hAnsi="Arial" w:cs="Arial"/>
          <w:sz w:val="24"/>
          <w:szCs w:val="24"/>
        </w:rPr>
        <w:t xml:space="preserve">Use is not as of right if it is undertaken by force, with permission or secretly. In this case there is no evidence that use was undertaken secretly. There is some suggestion that a sign or signs stating ’Private Land’ were displayed but it is not clear exactly where these were, when they were present and in what context. </w:t>
      </w:r>
      <w:r w:rsidR="004F65E6">
        <w:rPr>
          <w:rFonts w:ascii="Arial" w:hAnsi="Arial" w:cs="Arial"/>
          <w:sz w:val="24"/>
          <w:szCs w:val="24"/>
        </w:rPr>
        <w:t xml:space="preserve">My impression is that any signs were relevant </w:t>
      </w:r>
      <w:r w:rsidR="00B05207">
        <w:rPr>
          <w:rFonts w:ascii="Arial" w:hAnsi="Arial" w:cs="Arial"/>
          <w:sz w:val="24"/>
          <w:szCs w:val="24"/>
        </w:rPr>
        <w:t xml:space="preserve">only </w:t>
      </w:r>
      <w:r w:rsidR="004F65E6">
        <w:rPr>
          <w:rFonts w:ascii="Arial" w:hAnsi="Arial" w:cs="Arial"/>
          <w:sz w:val="24"/>
          <w:szCs w:val="24"/>
        </w:rPr>
        <w:t xml:space="preserve">to the route C to D. </w:t>
      </w:r>
    </w:p>
    <w:p w14:paraId="0B4CB726" w14:textId="77777777" w:rsidR="007E33E1" w:rsidRPr="007E33E1" w:rsidRDefault="007E33E1" w:rsidP="00463E8D">
      <w:pPr>
        <w:pStyle w:val="Style1"/>
        <w:ind w:left="432"/>
        <w:rPr>
          <w:rFonts w:ascii="Arial" w:hAnsi="Arial" w:cs="Arial"/>
          <w:i/>
          <w:iCs/>
          <w:sz w:val="24"/>
          <w:szCs w:val="24"/>
        </w:rPr>
      </w:pPr>
      <w:r>
        <w:rPr>
          <w:rFonts w:ascii="Arial" w:hAnsi="Arial" w:cs="Arial"/>
          <w:sz w:val="24"/>
          <w:szCs w:val="24"/>
        </w:rPr>
        <w:t xml:space="preserve">There is evidence that </w:t>
      </w:r>
      <w:r w:rsidR="004F65E6">
        <w:rPr>
          <w:rFonts w:ascii="Arial" w:hAnsi="Arial" w:cs="Arial"/>
          <w:sz w:val="24"/>
          <w:szCs w:val="24"/>
        </w:rPr>
        <w:t xml:space="preserve">stiles </w:t>
      </w:r>
      <w:r w:rsidR="00043E54">
        <w:rPr>
          <w:rFonts w:ascii="Arial" w:hAnsi="Arial" w:cs="Arial"/>
          <w:sz w:val="24"/>
          <w:szCs w:val="24"/>
        </w:rPr>
        <w:t xml:space="preserve">and a kissing gate </w:t>
      </w:r>
      <w:r w:rsidR="004F65E6">
        <w:rPr>
          <w:rFonts w:ascii="Arial" w:hAnsi="Arial" w:cs="Arial"/>
          <w:sz w:val="24"/>
          <w:szCs w:val="24"/>
        </w:rPr>
        <w:t xml:space="preserve">were in place on the appeal routes. The presence of </w:t>
      </w:r>
      <w:r w:rsidR="00043E54">
        <w:rPr>
          <w:rFonts w:ascii="Arial" w:hAnsi="Arial" w:cs="Arial"/>
          <w:sz w:val="24"/>
          <w:szCs w:val="24"/>
        </w:rPr>
        <w:t>these</w:t>
      </w:r>
      <w:r w:rsidR="004F65E6">
        <w:rPr>
          <w:rFonts w:ascii="Arial" w:hAnsi="Arial" w:cs="Arial"/>
          <w:sz w:val="24"/>
          <w:szCs w:val="24"/>
        </w:rPr>
        <w:t xml:space="preserve"> might suggest complicity on the part of the landowner in public use of the routes. </w:t>
      </w:r>
    </w:p>
    <w:p w14:paraId="191AEC6C" w14:textId="77777777" w:rsidR="0029042A" w:rsidRPr="0029042A" w:rsidRDefault="00043E54" w:rsidP="00463E8D">
      <w:pPr>
        <w:pStyle w:val="Style1"/>
        <w:ind w:left="432"/>
        <w:rPr>
          <w:rFonts w:ascii="Arial" w:hAnsi="Arial" w:cs="Arial"/>
          <w:i/>
          <w:iCs/>
          <w:sz w:val="24"/>
          <w:szCs w:val="24"/>
        </w:rPr>
      </w:pPr>
      <w:r>
        <w:rPr>
          <w:rFonts w:ascii="Arial" w:hAnsi="Arial" w:cs="Arial"/>
          <w:sz w:val="24"/>
          <w:szCs w:val="24"/>
        </w:rPr>
        <w:t>When the application was submitted in 1990 four landowners were identified. One of these, the owner of Crown Point Farm</w:t>
      </w:r>
      <w:r w:rsidR="009E0435">
        <w:rPr>
          <w:rFonts w:ascii="Arial" w:hAnsi="Arial" w:cs="Arial"/>
          <w:sz w:val="24"/>
          <w:szCs w:val="24"/>
        </w:rPr>
        <w:t>,</w:t>
      </w:r>
      <w:r>
        <w:rPr>
          <w:rFonts w:ascii="Arial" w:hAnsi="Arial" w:cs="Arial"/>
          <w:sz w:val="24"/>
          <w:szCs w:val="24"/>
        </w:rPr>
        <w:t xml:space="preserve"> stated that they were owner occupiers. They had not given permission for public use of the appeal route over their </w:t>
      </w:r>
      <w:r w:rsidR="009E0435">
        <w:rPr>
          <w:rFonts w:ascii="Arial" w:hAnsi="Arial" w:cs="Arial"/>
          <w:sz w:val="24"/>
          <w:szCs w:val="24"/>
        </w:rPr>
        <w:t>land but</w:t>
      </w:r>
      <w:r>
        <w:rPr>
          <w:rFonts w:ascii="Arial" w:hAnsi="Arial" w:cs="Arial"/>
          <w:sz w:val="24"/>
          <w:szCs w:val="24"/>
        </w:rPr>
        <w:t xml:space="preserve"> were aware that it was so used and had done nothing to prevent or discourage </w:t>
      </w:r>
      <w:r w:rsidR="009E0435">
        <w:rPr>
          <w:rFonts w:ascii="Arial" w:hAnsi="Arial" w:cs="Arial"/>
          <w:sz w:val="24"/>
          <w:szCs w:val="24"/>
        </w:rPr>
        <w:t>such use</w:t>
      </w:r>
      <w:r>
        <w:rPr>
          <w:rFonts w:ascii="Arial" w:hAnsi="Arial" w:cs="Arial"/>
          <w:sz w:val="24"/>
          <w:szCs w:val="24"/>
        </w:rPr>
        <w:t>. The stated owner of Old Park Farm was in fact a Settled Land Act tenant for life</w:t>
      </w:r>
      <w:r w:rsidR="00161B41">
        <w:rPr>
          <w:rFonts w:ascii="Arial" w:hAnsi="Arial" w:cs="Arial"/>
          <w:sz w:val="24"/>
          <w:szCs w:val="24"/>
        </w:rPr>
        <w:t xml:space="preserve"> who also had not given permission for use of the route but was aware of public use and had not sought to prevent it. </w:t>
      </w:r>
      <w:r w:rsidR="0029042A">
        <w:rPr>
          <w:rFonts w:ascii="Arial" w:hAnsi="Arial" w:cs="Arial"/>
          <w:sz w:val="24"/>
          <w:szCs w:val="24"/>
        </w:rPr>
        <w:t>Both of the</w:t>
      </w:r>
      <w:r w:rsidR="009E0435">
        <w:rPr>
          <w:rFonts w:ascii="Arial" w:hAnsi="Arial" w:cs="Arial"/>
          <w:sz w:val="24"/>
          <w:szCs w:val="24"/>
        </w:rPr>
        <w:t>se</w:t>
      </w:r>
      <w:r w:rsidR="0029042A">
        <w:rPr>
          <w:rFonts w:ascii="Arial" w:hAnsi="Arial" w:cs="Arial"/>
          <w:sz w:val="24"/>
          <w:szCs w:val="24"/>
        </w:rPr>
        <w:t xml:space="preserve"> individuals</w:t>
      </w:r>
      <w:r w:rsidR="009E0435">
        <w:rPr>
          <w:rFonts w:ascii="Arial" w:hAnsi="Arial" w:cs="Arial"/>
          <w:sz w:val="24"/>
          <w:szCs w:val="24"/>
        </w:rPr>
        <w:t>,</w:t>
      </w:r>
      <w:r w:rsidR="0029042A">
        <w:rPr>
          <w:rFonts w:ascii="Arial" w:hAnsi="Arial" w:cs="Arial"/>
          <w:sz w:val="24"/>
          <w:szCs w:val="24"/>
        </w:rPr>
        <w:t xml:space="preserve"> </w:t>
      </w:r>
      <w:r w:rsidR="00203C65">
        <w:rPr>
          <w:rFonts w:ascii="Arial" w:hAnsi="Arial" w:cs="Arial"/>
          <w:sz w:val="24"/>
          <w:szCs w:val="24"/>
        </w:rPr>
        <w:t>wh</w:t>
      </w:r>
      <w:r w:rsidR="009E0435">
        <w:rPr>
          <w:rFonts w:ascii="Arial" w:hAnsi="Arial" w:cs="Arial"/>
          <w:sz w:val="24"/>
          <w:szCs w:val="24"/>
        </w:rPr>
        <w:t xml:space="preserve">en </w:t>
      </w:r>
      <w:r w:rsidR="0029042A">
        <w:rPr>
          <w:rFonts w:ascii="Arial" w:hAnsi="Arial" w:cs="Arial"/>
          <w:sz w:val="24"/>
          <w:szCs w:val="24"/>
        </w:rPr>
        <w:t>complet</w:t>
      </w:r>
      <w:r w:rsidR="009E0435">
        <w:rPr>
          <w:rFonts w:ascii="Arial" w:hAnsi="Arial" w:cs="Arial"/>
          <w:sz w:val="24"/>
          <w:szCs w:val="24"/>
        </w:rPr>
        <w:t>ing</w:t>
      </w:r>
      <w:r w:rsidR="0029042A">
        <w:rPr>
          <w:rFonts w:ascii="Arial" w:hAnsi="Arial" w:cs="Arial"/>
          <w:sz w:val="24"/>
          <w:szCs w:val="24"/>
        </w:rPr>
        <w:t xml:space="preserve"> the landowner evidence forms</w:t>
      </w:r>
      <w:r w:rsidR="009E0435">
        <w:rPr>
          <w:rFonts w:ascii="Arial" w:hAnsi="Arial" w:cs="Arial"/>
          <w:sz w:val="24"/>
          <w:szCs w:val="24"/>
        </w:rPr>
        <w:t>,</w:t>
      </w:r>
      <w:r w:rsidR="0029042A">
        <w:rPr>
          <w:rFonts w:ascii="Arial" w:hAnsi="Arial" w:cs="Arial"/>
          <w:sz w:val="24"/>
          <w:szCs w:val="24"/>
        </w:rPr>
        <w:t xml:space="preserve"> considered the appeal routes to be public rights of way.</w:t>
      </w:r>
    </w:p>
    <w:p w14:paraId="38ECA6E1" w14:textId="77777777" w:rsidR="007E33E1" w:rsidRPr="007E33E1" w:rsidRDefault="00161B41" w:rsidP="00463E8D">
      <w:pPr>
        <w:pStyle w:val="Style1"/>
        <w:ind w:left="432"/>
        <w:rPr>
          <w:rFonts w:ascii="Arial" w:hAnsi="Arial" w:cs="Arial"/>
          <w:i/>
          <w:iCs/>
          <w:sz w:val="24"/>
          <w:szCs w:val="24"/>
        </w:rPr>
      </w:pPr>
      <w:r>
        <w:rPr>
          <w:rFonts w:ascii="Arial" w:hAnsi="Arial" w:cs="Arial"/>
          <w:sz w:val="24"/>
          <w:szCs w:val="24"/>
        </w:rPr>
        <w:t>The remaining two owners were SCC and a tenant of part of that land</w:t>
      </w:r>
      <w:r w:rsidR="00435F3A">
        <w:rPr>
          <w:rFonts w:ascii="Arial" w:hAnsi="Arial" w:cs="Arial"/>
          <w:sz w:val="24"/>
          <w:szCs w:val="24"/>
        </w:rPr>
        <w:t>,</w:t>
      </w:r>
      <w:r>
        <w:rPr>
          <w:rFonts w:ascii="Arial" w:hAnsi="Arial" w:cs="Arial"/>
          <w:sz w:val="24"/>
          <w:szCs w:val="24"/>
        </w:rPr>
        <w:t xml:space="preserve"> being Park Farm. The tenant acknowledged use by the public and had taken no steps to prevent use.</w:t>
      </w:r>
    </w:p>
    <w:p w14:paraId="69CACFB1" w14:textId="77777777" w:rsidR="009E0435" w:rsidRPr="009E0435" w:rsidRDefault="00161B41" w:rsidP="00463E8D">
      <w:pPr>
        <w:pStyle w:val="Style1"/>
        <w:ind w:left="432"/>
        <w:rPr>
          <w:rFonts w:ascii="Arial" w:hAnsi="Arial" w:cs="Arial"/>
          <w:i/>
          <w:iCs/>
          <w:sz w:val="24"/>
          <w:szCs w:val="24"/>
        </w:rPr>
      </w:pPr>
      <w:r>
        <w:rPr>
          <w:rFonts w:ascii="Arial" w:hAnsi="Arial" w:cs="Arial"/>
          <w:sz w:val="24"/>
          <w:szCs w:val="24"/>
        </w:rPr>
        <w:t xml:space="preserve">The position of SCC is less straightforward. Their initial response to the proposed application </w:t>
      </w:r>
      <w:r w:rsidR="0029042A">
        <w:rPr>
          <w:rFonts w:ascii="Arial" w:hAnsi="Arial" w:cs="Arial"/>
          <w:sz w:val="24"/>
          <w:szCs w:val="24"/>
        </w:rPr>
        <w:t xml:space="preserve">in 1988 and 1990 </w:t>
      </w:r>
      <w:r>
        <w:rPr>
          <w:rFonts w:ascii="Arial" w:hAnsi="Arial" w:cs="Arial"/>
          <w:sz w:val="24"/>
          <w:szCs w:val="24"/>
        </w:rPr>
        <w:t>was that the main route, A to B, would be a useful addition to the public network, but disputed whether the spur, C to D</w:t>
      </w:r>
      <w:r w:rsidR="009E0435">
        <w:rPr>
          <w:rFonts w:ascii="Arial" w:hAnsi="Arial" w:cs="Arial"/>
          <w:sz w:val="24"/>
          <w:szCs w:val="24"/>
        </w:rPr>
        <w:t>,</w:t>
      </w:r>
      <w:r>
        <w:rPr>
          <w:rFonts w:ascii="Arial" w:hAnsi="Arial" w:cs="Arial"/>
          <w:sz w:val="24"/>
          <w:szCs w:val="24"/>
        </w:rPr>
        <w:t xml:space="preserve"> could have been used as of right for the necessary period as it was part of a waymarked route within the Country Park and thus use was permissive. </w:t>
      </w:r>
      <w:r w:rsidR="009E0435">
        <w:rPr>
          <w:rFonts w:ascii="Arial" w:hAnsi="Arial" w:cs="Arial"/>
          <w:sz w:val="24"/>
          <w:szCs w:val="24"/>
        </w:rPr>
        <w:t>I have been provided with no detail of the alleged permissive scheme for use of routes within the Country Park, nor how this was communicated to the public.</w:t>
      </w:r>
    </w:p>
    <w:p w14:paraId="248E9DDB" w14:textId="77777777" w:rsidR="009E0435" w:rsidRPr="009E0435" w:rsidRDefault="00161B41" w:rsidP="009E0435">
      <w:pPr>
        <w:pStyle w:val="Style1"/>
        <w:ind w:left="432"/>
        <w:rPr>
          <w:rFonts w:ascii="Arial" w:hAnsi="Arial" w:cs="Arial"/>
          <w:i/>
          <w:iCs/>
          <w:sz w:val="24"/>
          <w:szCs w:val="24"/>
        </w:rPr>
      </w:pPr>
      <w:r>
        <w:rPr>
          <w:rFonts w:ascii="Arial" w:hAnsi="Arial" w:cs="Arial"/>
          <w:sz w:val="24"/>
          <w:szCs w:val="24"/>
        </w:rPr>
        <w:t>Subsequently SCC object</w:t>
      </w:r>
      <w:r w:rsidR="009E0435">
        <w:rPr>
          <w:rFonts w:ascii="Arial" w:hAnsi="Arial" w:cs="Arial"/>
          <w:sz w:val="24"/>
          <w:szCs w:val="24"/>
        </w:rPr>
        <w:t>ed</w:t>
      </w:r>
      <w:r>
        <w:rPr>
          <w:rFonts w:ascii="Arial" w:hAnsi="Arial" w:cs="Arial"/>
          <w:sz w:val="24"/>
          <w:szCs w:val="24"/>
        </w:rPr>
        <w:t xml:space="preserve"> to </w:t>
      </w:r>
      <w:r w:rsidR="009E0435">
        <w:rPr>
          <w:rFonts w:ascii="Arial" w:hAnsi="Arial" w:cs="Arial"/>
          <w:sz w:val="24"/>
          <w:szCs w:val="24"/>
        </w:rPr>
        <w:t>both</w:t>
      </w:r>
      <w:r>
        <w:rPr>
          <w:rFonts w:ascii="Arial" w:hAnsi="Arial" w:cs="Arial"/>
          <w:sz w:val="24"/>
          <w:szCs w:val="24"/>
        </w:rPr>
        <w:t xml:space="preserve"> of the appeal routes being recorded as public rights of way</w:t>
      </w:r>
      <w:r w:rsidR="0029042A">
        <w:rPr>
          <w:rFonts w:ascii="Arial" w:hAnsi="Arial" w:cs="Arial"/>
          <w:sz w:val="24"/>
          <w:szCs w:val="24"/>
        </w:rPr>
        <w:t xml:space="preserve"> on the grounds that further investigation suggested that between 1972 and 1980 </w:t>
      </w:r>
      <w:r w:rsidR="00203C65">
        <w:rPr>
          <w:rFonts w:ascii="Arial" w:hAnsi="Arial" w:cs="Arial"/>
          <w:sz w:val="24"/>
          <w:szCs w:val="24"/>
        </w:rPr>
        <w:t>a</w:t>
      </w:r>
      <w:r w:rsidR="0029042A">
        <w:rPr>
          <w:rFonts w:ascii="Arial" w:hAnsi="Arial" w:cs="Arial"/>
          <w:sz w:val="24"/>
          <w:szCs w:val="24"/>
        </w:rPr>
        <w:t>ccess was controlled by Stoke on Trent Yout</w:t>
      </w:r>
      <w:r w:rsidR="00CE21BE">
        <w:rPr>
          <w:rFonts w:ascii="Arial" w:hAnsi="Arial" w:cs="Arial"/>
          <w:sz w:val="24"/>
          <w:szCs w:val="24"/>
        </w:rPr>
        <w:t>h</w:t>
      </w:r>
      <w:r w:rsidR="0029042A">
        <w:rPr>
          <w:rFonts w:ascii="Arial" w:hAnsi="Arial" w:cs="Arial"/>
          <w:sz w:val="24"/>
          <w:szCs w:val="24"/>
        </w:rPr>
        <w:t xml:space="preserve"> and </w:t>
      </w:r>
      <w:r w:rsidR="00CE21BE">
        <w:rPr>
          <w:rFonts w:ascii="Arial" w:hAnsi="Arial" w:cs="Arial"/>
          <w:sz w:val="24"/>
          <w:szCs w:val="24"/>
        </w:rPr>
        <w:t>C</w:t>
      </w:r>
      <w:r w:rsidR="0029042A">
        <w:rPr>
          <w:rFonts w:ascii="Arial" w:hAnsi="Arial" w:cs="Arial"/>
          <w:sz w:val="24"/>
          <w:szCs w:val="24"/>
        </w:rPr>
        <w:t xml:space="preserve">ommunity Sailing Club and that access </w:t>
      </w:r>
      <w:r w:rsidR="00CE21BE">
        <w:rPr>
          <w:rFonts w:ascii="Arial" w:hAnsi="Arial" w:cs="Arial"/>
          <w:sz w:val="24"/>
          <w:szCs w:val="24"/>
        </w:rPr>
        <w:t>to the public was denied.</w:t>
      </w:r>
      <w:r w:rsidR="009E0435">
        <w:rPr>
          <w:rFonts w:ascii="Arial" w:hAnsi="Arial" w:cs="Arial"/>
          <w:i/>
          <w:iCs/>
          <w:sz w:val="24"/>
          <w:szCs w:val="24"/>
        </w:rPr>
        <w:t xml:space="preserve"> </w:t>
      </w:r>
      <w:r w:rsidR="00CE21BE" w:rsidRPr="009E0435">
        <w:rPr>
          <w:rFonts w:ascii="Arial" w:hAnsi="Arial" w:cs="Arial"/>
          <w:color w:val="auto"/>
          <w:sz w:val="24"/>
          <w:szCs w:val="24"/>
        </w:rPr>
        <w:t xml:space="preserve">The only </w:t>
      </w:r>
      <w:r w:rsidR="009E0435">
        <w:rPr>
          <w:rFonts w:ascii="Arial" w:hAnsi="Arial" w:cs="Arial"/>
          <w:color w:val="auto"/>
          <w:sz w:val="24"/>
          <w:szCs w:val="24"/>
        </w:rPr>
        <w:t>evidence to support this assertion</w:t>
      </w:r>
      <w:r w:rsidR="00CE21BE" w:rsidRPr="009E0435">
        <w:rPr>
          <w:rFonts w:ascii="Arial" w:hAnsi="Arial" w:cs="Arial"/>
          <w:color w:val="auto"/>
          <w:sz w:val="24"/>
          <w:szCs w:val="24"/>
        </w:rPr>
        <w:t xml:space="preserve"> is contained in a memo from SCC stating that access was denied to the public between 1972 and 1980. </w:t>
      </w:r>
    </w:p>
    <w:p w14:paraId="0E4AAB42" w14:textId="77777777" w:rsidR="001C6E2B" w:rsidRPr="009E0435" w:rsidRDefault="009E0435" w:rsidP="009E0435">
      <w:pPr>
        <w:pStyle w:val="Style1"/>
        <w:tabs>
          <w:tab w:val="clear" w:pos="1145"/>
          <w:tab w:val="num" w:pos="-1189"/>
        </w:tabs>
        <w:ind w:left="432"/>
        <w:rPr>
          <w:rFonts w:ascii="Arial" w:hAnsi="Arial" w:cs="Arial"/>
          <w:i/>
          <w:iCs/>
          <w:sz w:val="24"/>
          <w:szCs w:val="24"/>
        </w:rPr>
      </w:pPr>
      <w:r>
        <w:rPr>
          <w:rFonts w:ascii="Arial" w:hAnsi="Arial" w:cs="Arial"/>
          <w:color w:val="auto"/>
          <w:sz w:val="24"/>
          <w:szCs w:val="24"/>
        </w:rPr>
        <w:lastRenderedPageBreak/>
        <w:t>The assertion that use of the appeal routes was denied to the public between 1972 and 1980</w:t>
      </w:r>
      <w:r w:rsidR="00CE21BE" w:rsidRPr="009E0435">
        <w:rPr>
          <w:rFonts w:ascii="Arial" w:hAnsi="Arial" w:cs="Arial"/>
          <w:color w:val="auto"/>
          <w:sz w:val="24"/>
          <w:szCs w:val="24"/>
        </w:rPr>
        <w:t xml:space="preserve"> is at odds with the evidence of the users and the other landowners. </w:t>
      </w:r>
      <w:r w:rsidR="00707F31">
        <w:rPr>
          <w:rFonts w:ascii="Arial" w:hAnsi="Arial" w:cs="Arial"/>
          <w:color w:val="auto"/>
          <w:sz w:val="24"/>
          <w:szCs w:val="24"/>
        </w:rPr>
        <w:t xml:space="preserve">The suggestion that use was permissive is similarly not consistent with the evidence contained in the user evidence forms. </w:t>
      </w:r>
      <w:r w:rsidR="00CE21BE" w:rsidRPr="009E0435">
        <w:rPr>
          <w:rFonts w:ascii="Arial" w:hAnsi="Arial" w:cs="Arial"/>
          <w:color w:val="auto"/>
          <w:sz w:val="24"/>
          <w:szCs w:val="24"/>
        </w:rPr>
        <w:t>I</w:t>
      </w:r>
      <w:r w:rsidR="00707F31">
        <w:rPr>
          <w:rFonts w:ascii="Arial" w:hAnsi="Arial" w:cs="Arial"/>
          <w:color w:val="auto"/>
          <w:sz w:val="24"/>
          <w:szCs w:val="24"/>
        </w:rPr>
        <w:t>n neither case</w:t>
      </w:r>
      <w:r w:rsidR="00CE21BE" w:rsidRPr="009E0435">
        <w:rPr>
          <w:rFonts w:ascii="Arial" w:hAnsi="Arial" w:cs="Arial"/>
          <w:color w:val="auto"/>
          <w:sz w:val="24"/>
          <w:szCs w:val="24"/>
        </w:rPr>
        <w:t xml:space="preserve"> does </w:t>
      </w:r>
      <w:r w:rsidR="00707F31">
        <w:rPr>
          <w:rFonts w:ascii="Arial" w:hAnsi="Arial" w:cs="Arial"/>
          <w:color w:val="auto"/>
          <w:sz w:val="24"/>
          <w:szCs w:val="24"/>
        </w:rPr>
        <w:t>the assertion</w:t>
      </w:r>
      <w:r w:rsidR="00CE21BE" w:rsidRPr="009E0435">
        <w:rPr>
          <w:rFonts w:ascii="Arial" w:hAnsi="Arial" w:cs="Arial"/>
          <w:color w:val="auto"/>
          <w:sz w:val="24"/>
          <w:szCs w:val="24"/>
        </w:rPr>
        <w:t xml:space="preserve"> amount to an incontrovertible answer to the claimed public rights.</w:t>
      </w:r>
      <w:r w:rsidR="00203C65" w:rsidRPr="009E0435">
        <w:rPr>
          <w:rFonts w:ascii="Arial" w:hAnsi="Arial" w:cs="Arial"/>
          <w:color w:val="auto"/>
          <w:sz w:val="24"/>
          <w:szCs w:val="24"/>
        </w:rPr>
        <w:t xml:space="preserve"> Accordingly</w:t>
      </w:r>
      <w:r w:rsidR="00B80C59" w:rsidRPr="009E0435">
        <w:rPr>
          <w:rFonts w:ascii="Arial" w:hAnsi="Arial" w:cs="Arial"/>
          <w:color w:val="auto"/>
          <w:sz w:val="24"/>
          <w:szCs w:val="24"/>
        </w:rPr>
        <w:t>,</w:t>
      </w:r>
      <w:r w:rsidR="00EB2961" w:rsidRPr="009E0435">
        <w:rPr>
          <w:rFonts w:ascii="Arial" w:hAnsi="Arial" w:cs="Arial"/>
          <w:color w:val="auto"/>
          <w:sz w:val="24"/>
          <w:szCs w:val="24"/>
        </w:rPr>
        <w:t xml:space="preserve"> </w:t>
      </w:r>
      <w:r w:rsidR="001C6E2B" w:rsidRPr="009E0435">
        <w:rPr>
          <w:rFonts w:ascii="Arial" w:hAnsi="Arial" w:cs="Arial"/>
          <w:color w:val="auto"/>
          <w:sz w:val="24"/>
          <w:szCs w:val="24"/>
        </w:rPr>
        <w:t>I find it is reasonable to allege that use of the appeal routes by the public was use as of right.</w:t>
      </w:r>
      <w:r w:rsidR="00EB2961" w:rsidRPr="009E0435">
        <w:rPr>
          <w:rFonts w:ascii="Arial" w:hAnsi="Arial" w:cs="Arial"/>
          <w:color w:val="auto"/>
          <w:sz w:val="24"/>
          <w:szCs w:val="24"/>
        </w:rPr>
        <w:t xml:space="preserve">                                                                                                                                                                                                                                                                                                                                                                                                                                                                                                                  </w:t>
      </w:r>
    </w:p>
    <w:p w14:paraId="6198CE81" w14:textId="77777777" w:rsidR="00CE21BE" w:rsidRPr="00CE21BE" w:rsidRDefault="00CE21BE" w:rsidP="001C6E2B">
      <w:pPr>
        <w:pStyle w:val="Style1"/>
        <w:numPr>
          <w:ilvl w:val="0"/>
          <w:numId w:val="0"/>
        </w:numPr>
        <w:tabs>
          <w:tab w:val="num" w:pos="-1189"/>
        </w:tabs>
        <w:rPr>
          <w:rFonts w:ascii="Arial" w:hAnsi="Arial" w:cs="Arial"/>
          <w:sz w:val="24"/>
          <w:szCs w:val="24"/>
        </w:rPr>
      </w:pPr>
      <w:r w:rsidRPr="00CE21BE">
        <w:rPr>
          <w:rFonts w:ascii="Arial" w:hAnsi="Arial" w:cs="Arial"/>
          <w:sz w:val="24"/>
          <w:szCs w:val="24"/>
        </w:rPr>
        <w:t>Lack of intention to dedicate</w:t>
      </w:r>
    </w:p>
    <w:p w14:paraId="3E37084D" w14:textId="77777777" w:rsidR="00CE21BE" w:rsidRPr="00851E1A" w:rsidRDefault="00851E1A" w:rsidP="00463E8D">
      <w:pPr>
        <w:pStyle w:val="Style1"/>
        <w:ind w:left="432"/>
        <w:rPr>
          <w:rFonts w:ascii="Arial" w:hAnsi="Arial" w:cs="Arial"/>
          <w:i/>
          <w:iCs/>
          <w:sz w:val="24"/>
          <w:szCs w:val="24"/>
        </w:rPr>
      </w:pPr>
      <w:r>
        <w:rPr>
          <w:rFonts w:ascii="Arial" w:hAnsi="Arial" w:cs="Arial"/>
          <w:color w:val="auto"/>
          <w:sz w:val="24"/>
          <w:szCs w:val="24"/>
        </w:rPr>
        <w:t xml:space="preserve">A landowner can rebut a </w:t>
      </w:r>
      <w:r w:rsidR="00707F31">
        <w:rPr>
          <w:rFonts w:ascii="Arial" w:hAnsi="Arial" w:cs="Arial"/>
          <w:color w:val="auto"/>
          <w:sz w:val="24"/>
          <w:szCs w:val="24"/>
        </w:rPr>
        <w:t xml:space="preserve">statutory </w:t>
      </w:r>
      <w:r>
        <w:rPr>
          <w:rFonts w:ascii="Arial" w:hAnsi="Arial" w:cs="Arial"/>
          <w:color w:val="auto"/>
          <w:sz w:val="24"/>
          <w:szCs w:val="24"/>
        </w:rPr>
        <w:t xml:space="preserve">presumption of dedication by making an overt demonstration of a lack of intention to dedicate in a manner that would come to the attention of users of the route. </w:t>
      </w:r>
    </w:p>
    <w:p w14:paraId="604638DA" w14:textId="77777777" w:rsidR="00851E1A" w:rsidRPr="00851E1A" w:rsidRDefault="00851E1A" w:rsidP="00463E8D">
      <w:pPr>
        <w:pStyle w:val="Style1"/>
        <w:ind w:left="432"/>
        <w:rPr>
          <w:rFonts w:ascii="Arial" w:hAnsi="Arial" w:cs="Arial"/>
          <w:i/>
          <w:iCs/>
          <w:sz w:val="24"/>
          <w:szCs w:val="24"/>
        </w:rPr>
      </w:pPr>
      <w:r>
        <w:rPr>
          <w:rFonts w:ascii="Arial" w:hAnsi="Arial" w:cs="Arial"/>
          <w:color w:val="auto"/>
          <w:sz w:val="24"/>
          <w:szCs w:val="24"/>
        </w:rPr>
        <w:t>In this case none of the user evidence forms describe signs, obstructions or challenges or any other matters that caused the</w:t>
      </w:r>
      <w:r w:rsidR="002A1C91">
        <w:rPr>
          <w:rFonts w:ascii="Arial" w:hAnsi="Arial" w:cs="Arial"/>
          <w:color w:val="auto"/>
          <w:sz w:val="24"/>
          <w:szCs w:val="24"/>
        </w:rPr>
        <w:t xml:space="preserve"> user</w:t>
      </w:r>
      <w:r>
        <w:rPr>
          <w:rFonts w:ascii="Arial" w:hAnsi="Arial" w:cs="Arial"/>
          <w:color w:val="auto"/>
          <w:sz w:val="24"/>
          <w:szCs w:val="24"/>
        </w:rPr>
        <w:t xml:space="preserve"> to believe their entitlement to use the appeal routes was </w:t>
      </w:r>
      <w:r w:rsidR="002A1C91">
        <w:rPr>
          <w:rFonts w:ascii="Arial" w:hAnsi="Arial" w:cs="Arial"/>
          <w:color w:val="auto"/>
          <w:sz w:val="24"/>
          <w:szCs w:val="24"/>
        </w:rPr>
        <w:t xml:space="preserve">being </w:t>
      </w:r>
      <w:r>
        <w:rPr>
          <w:rFonts w:ascii="Arial" w:hAnsi="Arial" w:cs="Arial"/>
          <w:color w:val="auto"/>
          <w:sz w:val="24"/>
          <w:szCs w:val="24"/>
        </w:rPr>
        <w:t>contested.</w:t>
      </w:r>
    </w:p>
    <w:p w14:paraId="00FFFCF5" w14:textId="77777777" w:rsidR="0090294A" w:rsidRPr="00707F31" w:rsidRDefault="00851E1A" w:rsidP="002A1C91">
      <w:pPr>
        <w:pStyle w:val="Style1"/>
        <w:ind w:left="432"/>
        <w:rPr>
          <w:rFonts w:ascii="Arial" w:hAnsi="Arial" w:cs="Arial"/>
          <w:i/>
          <w:iCs/>
          <w:sz w:val="24"/>
          <w:szCs w:val="24"/>
        </w:rPr>
      </w:pPr>
      <w:r>
        <w:rPr>
          <w:rFonts w:ascii="Arial" w:hAnsi="Arial" w:cs="Arial"/>
          <w:color w:val="auto"/>
          <w:sz w:val="24"/>
          <w:szCs w:val="24"/>
        </w:rPr>
        <w:t xml:space="preserve">The only evidence which might be advanced in support of an argument that the landowner demonstrated a lack of intention to dedicate is that contained in the memo previously referred to. The memo does not state how the Sailing Club communicated to the public that their use was </w:t>
      </w:r>
      <w:r w:rsidR="00C87CC4">
        <w:rPr>
          <w:rFonts w:ascii="Arial" w:hAnsi="Arial" w:cs="Arial"/>
          <w:color w:val="auto"/>
          <w:sz w:val="24"/>
          <w:szCs w:val="24"/>
        </w:rPr>
        <w:t>prohibited. This evidence falls a long way short of amounting to an incontrovertible answer to the application.</w:t>
      </w:r>
    </w:p>
    <w:p w14:paraId="7797FCD8" w14:textId="77777777" w:rsidR="00707F31" w:rsidRPr="00707F31" w:rsidRDefault="00707F31" w:rsidP="00707F31">
      <w:pPr>
        <w:pStyle w:val="Style1"/>
        <w:numPr>
          <w:ilvl w:val="0"/>
          <w:numId w:val="0"/>
        </w:numPr>
        <w:rPr>
          <w:rFonts w:ascii="Arial" w:hAnsi="Arial" w:cs="Arial"/>
          <w:i/>
          <w:iCs/>
          <w:sz w:val="24"/>
          <w:szCs w:val="24"/>
        </w:rPr>
      </w:pPr>
      <w:r>
        <w:rPr>
          <w:rFonts w:ascii="Arial" w:hAnsi="Arial" w:cs="Arial"/>
          <w:color w:val="auto"/>
          <w:sz w:val="24"/>
          <w:szCs w:val="24"/>
        </w:rPr>
        <w:t>Common Law</w:t>
      </w:r>
    </w:p>
    <w:p w14:paraId="1CCBF35E" w14:textId="77777777" w:rsidR="00707F31" w:rsidRPr="002A1C91" w:rsidRDefault="00046024" w:rsidP="002A1C91">
      <w:pPr>
        <w:pStyle w:val="Style1"/>
        <w:tabs>
          <w:tab w:val="clear" w:pos="1145"/>
          <w:tab w:val="num" w:pos="-1189"/>
        </w:tabs>
        <w:ind w:left="432"/>
        <w:rPr>
          <w:rFonts w:ascii="Arial" w:hAnsi="Arial" w:cs="Arial"/>
          <w:i/>
          <w:iCs/>
          <w:sz w:val="24"/>
          <w:szCs w:val="24"/>
        </w:rPr>
      </w:pPr>
      <w:r>
        <w:rPr>
          <w:rFonts w:ascii="Arial" w:hAnsi="Arial" w:cs="Arial"/>
          <w:color w:val="auto"/>
          <w:sz w:val="24"/>
          <w:szCs w:val="24"/>
        </w:rPr>
        <w:t xml:space="preserve">Given the findings that I have made in relation to presumed dedication pursuant to section 53 of the 1981 it is not necessary for me to consider the position at common law. </w:t>
      </w:r>
    </w:p>
    <w:p w14:paraId="574416C4" w14:textId="77777777" w:rsidR="00FE0ADB" w:rsidRPr="002A1C91" w:rsidRDefault="00FE0ADB" w:rsidP="00E225CB">
      <w:pPr>
        <w:pStyle w:val="Style1"/>
        <w:numPr>
          <w:ilvl w:val="0"/>
          <w:numId w:val="0"/>
        </w:numPr>
        <w:rPr>
          <w:rFonts w:ascii="Arial" w:hAnsi="Arial" w:cs="Arial"/>
          <w:sz w:val="24"/>
          <w:szCs w:val="24"/>
        </w:rPr>
      </w:pPr>
      <w:r w:rsidRPr="002A1C91">
        <w:rPr>
          <w:rFonts w:ascii="Arial" w:hAnsi="Arial" w:cs="Arial"/>
          <w:sz w:val="24"/>
          <w:szCs w:val="24"/>
        </w:rPr>
        <w:t>Summary and conclusions</w:t>
      </w:r>
    </w:p>
    <w:p w14:paraId="6A2A5131" w14:textId="77777777" w:rsidR="002A1C91" w:rsidRDefault="00B80C59" w:rsidP="00BB6054">
      <w:pPr>
        <w:pStyle w:val="Style1"/>
        <w:ind w:left="432"/>
        <w:rPr>
          <w:rFonts w:ascii="Arial" w:hAnsi="Arial" w:cs="Arial"/>
          <w:sz w:val="24"/>
          <w:szCs w:val="24"/>
        </w:rPr>
      </w:pPr>
      <w:bookmarkStart w:id="3" w:name="bmkPageBreak"/>
      <w:bookmarkEnd w:id="3"/>
      <w:r>
        <w:rPr>
          <w:rFonts w:ascii="Arial" w:hAnsi="Arial" w:cs="Arial"/>
          <w:sz w:val="24"/>
          <w:szCs w:val="24"/>
        </w:rPr>
        <w:t>There is sufficient evidence of use of both appeal routes for it to be reasonably alleged that a statutory presumption of dedication arises. There is no sufficient evidence of a lack of intention to dedicate, or of any other reason that would prove conclusively that the appeal routes should not be recorded as public footpaths.</w:t>
      </w:r>
    </w:p>
    <w:p w14:paraId="7479A588" w14:textId="77777777" w:rsidR="00F41185" w:rsidRPr="00F41185" w:rsidRDefault="00B22702" w:rsidP="00F41185">
      <w:pPr>
        <w:pStyle w:val="Heading6blackfont"/>
        <w:tabs>
          <w:tab w:val="num" w:pos="426"/>
          <w:tab w:val="left" w:pos="1418"/>
        </w:tabs>
        <w:ind w:left="426" w:hanging="426"/>
        <w:rPr>
          <w:rFonts w:ascii="Arial" w:hAnsi="Arial" w:cs="Arial"/>
          <w:color w:val="auto"/>
          <w:sz w:val="24"/>
          <w:szCs w:val="24"/>
        </w:rPr>
      </w:pPr>
      <w:r w:rsidRPr="009F6529">
        <w:rPr>
          <w:rFonts w:ascii="Arial" w:hAnsi="Arial" w:cs="Arial"/>
          <w:color w:val="auto"/>
          <w:sz w:val="24"/>
          <w:szCs w:val="24"/>
        </w:rPr>
        <w:t>Conclusio</w:t>
      </w:r>
      <w:r w:rsidR="00F41185">
        <w:rPr>
          <w:rFonts w:ascii="Arial" w:hAnsi="Arial" w:cs="Arial"/>
          <w:color w:val="auto"/>
          <w:sz w:val="24"/>
          <w:szCs w:val="24"/>
        </w:rPr>
        <w:t>n</w:t>
      </w:r>
    </w:p>
    <w:p w14:paraId="79D03F59" w14:textId="77777777" w:rsidR="00F92553" w:rsidRPr="00F41185" w:rsidRDefault="00F41185" w:rsidP="00F92553">
      <w:pPr>
        <w:pStyle w:val="Style1"/>
        <w:tabs>
          <w:tab w:val="clear" w:pos="432"/>
          <w:tab w:val="num" w:pos="426"/>
          <w:tab w:val="left" w:pos="1418"/>
        </w:tabs>
        <w:ind w:left="426" w:right="-194" w:hanging="426"/>
        <w:rPr>
          <w:rFonts w:ascii="Arial" w:hAnsi="Arial" w:cs="Arial"/>
          <w:sz w:val="24"/>
          <w:szCs w:val="24"/>
        </w:rPr>
      </w:pPr>
      <w:r>
        <w:rPr>
          <w:rFonts w:ascii="Arial" w:hAnsi="Arial" w:cs="Arial"/>
          <w:color w:val="auto"/>
          <w:sz w:val="24"/>
          <w:szCs w:val="24"/>
        </w:rPr>
        <w:t>H</w:t>
      </w:r>
      <w:r w:rsidR="00F92553" w:rsidRPr="009F6529">
        <w:rPr>
          <w:rFonts w:ascii="Arial" w:hAnsi="Arial" w:cs="Arial"/>
          <w:color w:val="auto"/>
          <w:sz w:val="24"/>
          <w:szCs w:val="24"/>
        </w:rPr>
        <w:t xml:space="preserve">aving regard to these and all other matters raised in the written representations I conclude that </w:t>
      </w:r>
      <w:r w:rsidR="00B80C59">
        <w:rPr>
          <w:rFonts w:ascii="Arial" w:hAnsi="Arial" w:cs="Arial"/>
          <w:color w:val="auto"/>
          <w:sz w:val="24"/>
          <w:szCs w:val="24"/>
        </w:rPr>
        <w:t>the</w:t>
      </w:r>
      <w:r w:rsidR="00F92553" w:rsidRPr="009F6529">
        <w:rPr>
          <w:rFonts w:ascii="Arial" w:hAnsi="Arial" w:cs="Arial"/>
          <w:color w:val="auto"/>
          <w:sz w:val="24"/>
          <w:szCs w:val="24"/>
        </w:rPr>
        <w:t xml:space="preserve"> appeal should</w:t>
      </w:r>
      <w:r w:rsidR="00E05DC8">
        <w:rPr>
          <w:rFonts w:ascii="Arial" w:hAnsi="Arial" w:cs="Arial"/>
          <w:color w:val="auto"/>
          <w:sz w:val="24"/>
          <w:szCs w:val="24"/>
        </w:rPr>
        <w:t xml:space="preserve"> be </w:t>
      </w:r>
      <w:r w:rsidR="00C90C7B">
        <w:rPr>
          <w:rFonts w:ascii="Arial" w:hAnsi="Arial" w:cs="Arial"/>
          <w:color w:val="auto"/>
          <w:sz w:val="24"/>
          <w:szCs w:val="24"/>
        </w:rPr>
        <w:t>allowed</w:t>
      </w:r>
      <w:r w:rsidR="00E05DC8">
        <w:rPr>
          <w:rFonts w:ascii="Arial" w:hAnsi="Arial" w:cs="Arial"/>
          <w:color w:val="auto"/>
          <w:sz w:val="24"/>
          <w:szCs w:val="24"/>
        </w:rPr>
        <w:t>.</w:t>
      </w:r>
    </w:p>
    <w:p w14:paraId="451B3DBB" w14:textId="77777777" w:rsidR="00F41185" w:rsidRPr="00F41185" w:rsidRDefault="00F41185" w:rsidP="00F41185">
      <w:pPr>
        <w:pStyle w:val="Style1"/>
        <w:numPr>
          <w:ilvl w:val="0"/>
          <w:numId w:val="0"/>
        </w:numPr>
        <w:tabs>
          <w:tab w:val="clear" w:pos="432"/>
          <w:tab w:val="num" w:pos="426"/>
          <w:tab w:val="left" w:pos="1418"/>
        </w:tabs>
        <w:ind w:right="-194"/>
        <w:rPr>
          <w:rFonts w:ascii="Arial" w:hAnsi="Arial" w:cs="Arial"/>
          <w:b/>
          <w:bCs/>
          <w:sz w:val="24"/>
          <w:szCs w:val="24"/>
        </w:rPr>
      </w:pPr>
      <w:r w:rsidRPr="00F41185">
        <w:rPr>
          <w:rFonts w:ascii="Arial" w:hAnsi="Arial" w:cs="Arial"/>
          <w:b/>
          <w:bCs/>
          <w:color w:val="auto"/>
          <w:sz w:val="24"/>
          <w:szCs w:val="24"/>
        </w:rPr>
        <w:t>Formal Decision</w:t>
      </w:r>
    </w:p>
    <w:p w14:paraId="411C0746" w14:textId="77777777" w:rsidR="00F41185" w:rsidRDefault="00F41185" w:rsidP="00F41185">
      <w:pPr>
        <w:pStyle w:val="Style1"/>
        <w:tabs>
          <w:tab w:val="clear" w:pos="432"/>
          <w:tab w:val="num" w:pos="426"/>
          <w:tab w:val="left" w:pos="1418"/>
        </w:tabs>
        <w:ind w:left="426" w:right="-194" w:hanging="426"/>
        <w:rPr>
          <w:rFonts w:ascii="Arial" w:hAnsi="Arial" w:cs="Arial"/>
          <w:sz w:val="24"/>
          <w:szCs w:val="24"/>
        </w:rPr>
      </w:pPr>
      <w:r w:rsidRPr="00F41185">
        <w:rPr>
          <w:rFonts w:ascii="Arial" w:hAnsi="Arial" w:cs="Arial"/>
          <w:sz w:val="24"/>
          <w:szCs w:val="24"/>
        </w:rPr>
        <w:t>In accordance with Paragraph 4(2) of Schedule 14 to the 1981 Act</w:t>
      </w:r>
      <w:r w:rsidR="00B80C59">
        <w:rPr>
          <w:rFonts w:ascii="Arial" w:hAnsi="Arial" w:cs="Arial"/>
          <w:sz w:val="24"/>
          <w:szCs w:val="24"/>
        </w:rPr>
        <w:t>, S</w:t>
      </w:r>
      <w:r w:rsidR="001C6E2B">
        <w:rPr>
          <w:rFonts w:ascii="Arial" w:hAnsi="Arial" w:cs="Arial"/>
          <w:sz w:val="24"/>
          <w:szCs w:val="24"/>
        </w:rPr>
        <w:t>tafford</w:t>
      </w:r>
      <w:r w:rsidR="00B80C59">
        <w:rPr>
          <w:rFonts w:ascii="Arial" w:hAnsi="Arial" w:cs="Arial"/>
          <w:sz w:val="24"/>
          <w:szCs w:val="24"/>
        </w:rPr>
        <w:t>shire</w:t>
      </w:r>
      <w:r>
        <w:rPr>
          <w:rFonts w:ascii="Arial" w:hAnsi="Arial" w:cs="Arial"/>
          <w:sz w:val="24"/>
          <w:szCs w:val="24"/>
        </w:rPr>
        <w:t xml:space="preserve"> </w:t>
      </w:r>
      <w:r w:rsidRPr="00F41185">
        <w:rPr>
          <w:rFonts w:ascii="Arial" w:hAnsi="Arial" w:cs="Arial"/>
          <w:sz w:val="24"/>
          <w:szCs w:val="24"/>
        </w:rPr>
        <w:t>County Council is directed to make</w:t>
      </w:r>
      <w:r>
        <w:rPr>
          <w:rFonts w:ascii="Arial" w:hAnsi="Arial" w:cs="Arial"/>
          <w:sz w:val="24"/>
          <w:szCs w:val="24"/>
        </w:rPr>
        <w:t xml:space="preserve"> an</w:t>
      </w:r>
      <w:r w:rsidRPr="00F41185">
        <w:rPr>
          <w:rFonts w:ascii="Arial" w:hAnsi="Arial" w:cs="Arial"/>
          <w:sz w:val="24"/>
          <w:szCs w:val="24"/>
        </w:rPr>
        <w:t xml:space="preserve"> order under Section 53(2) and Schedule 15 of the Act to modify the definitive map and statement for the area by adding</w:t>
      </w:r>
      <w:r>
        <w:rPr>
          <w:rFonts w:ascii="Arial" w:hAnsi="Arial" w:cs="Arial"/>
          <w:sz w:val="24"/>
          <w:szCs w:val="24"/>
        </w:rPr>
        <w:t xml:space="preserve"> </w:t>
      </w:r>
      <w:r w:rsidR="0078431C">
        <w:rPr>
          <w:rFonts w:ascii="Arial" w:hAnsi="Arial" w:cs="Arial"/>
          <w:sz w:val="24"/>
          <w:szCs w:val="24"/>
        </w:rPr>
        <w:t>Footpath</w:t>
      </w:r>
      <w:r w:rsidR="00B80C59">
        <w:rPr>
          <w:rFonts w:ascii="Arial" w:hAnsi="Arial" w:cs="Arial"/>
          <w:sz w:val="24"/>
          <w:szCs w:val="24"/>
        </w:rPr>
        <w:t>s</w:t>
      </w:r>
      <w:r>
        <w:rPr>
          <w:rFonts w:ascii="Arial" w:hAnsi="Arial" w:cs="Arial"/>
          <w:sz w:val="24"/>
          <w:szCs w:val="24"/>
        </w:rPr>
        <w:t xml:space="preserve"> between points</w:t>
      </w:r>
      <w:r w:rsidR="00B80C59">
        <w:rPr>
          <w:rFonts w:ascii="Arial" w:hAnsi="Arial" w:cs="Arial"/>
          <w:sz w:val="24"/>
          <w:szCs w:val="24"/>
        </w:rPr>
        <w:t xml:space="preserve"> A and</w:t>
      </w:r>
      <w:r>
        <w:rPr>
          <w:rFonts w:ascii="Arial" w:hAnsi="Arial" w:cs="Arial"/>
          <w:sz w:val="24"/>
          <w:szCs w:val="24"/>
        </w:rPr>
        <w:t xml:space="preserve"> B and </w:t>
      </w:r>
      <w:r w:rsidR="00B80C59">
        <w:rPr>
          <w:rFonts w:ascii="Arial" w:hAnsi="Arial" w:cs="Arial"/>
          <w:sz w:val="24"/>
          <w:szCs w:val="24"/>
        </w:rPr>
        <w:t>between points C and D.</w:t>
      </w:r>
    </w:p>
    <w:p w14:paraId="6B4FE830" w14:textId="77777777" w:rsidR="00F92553" w:rsidRPr="00B80C59" w:rsidRDefault="00F41185" w:rsidP="00B80C59">
      <w:pPr>
        <w:pStyle w:val="Style1"/>
        <w:tabs>
          <w:tab w:val="clear" w:pos="432"/>
          <w:tab w:val="clear" w:pos="1145"/>
          <w:tab w:val="num" w:pos="-1189"/>
          <w:tab w:val="num" w:pos="426"/>
          <w:tab w:val="left" w:pos="1418"/>
        </w:tabs>
        <w:ind w:left="426" w:right="-194" w:hanging="426"/>
        <w:rPr>
          <w:rFonts w:ascii="Arial" w:hAnsi="Arial" w:cs="Arial"/>
          <w:sz w:val="24"/>
          <w:szCs w:val="24"/>
        </w:rPr>
      </w:pPr>
      <w:r w:rsidRPr="00F41185">
        <w:rPr>
          <w:rFonts w:ascii="Arial" w:hAnsi="Arial" w:cs="Arial"/>
          <w:sz w:val="24"/>
          <w:szCs w:val="24"/>
        </w:rPr>
        <w:t>This decision is made without prejudice to any decision that may be issued by the Secretary of State in accordance with his powers under Schedule 15 of the 1981 Act</w:t>
      </w:r>
      <w:r w:rsidR="00F92553" w:rsidRPr="00B80C59">
        <w:rPr>
          <w:rFonts w:ascii="Arial" w:hAnsi="Arial" w:cs="Arial"/>
          <w:sz w:val="24"/>
          <w:szCs w:val="24"/>
        </w:rPr>
        <w:t xml:space="preserve"> </w:t>
      </w:r>
      <w:r w:rsidR="000D51BD" w:rsidRPr="00B80C59">
        <w:rPr>
          <w:rFonts w:ascii="Arial" w:hAnsi="Arial" w:cs="Arial"/>
          <w:sz w:val="24"/>
          <w:szCs w:val="24"/>
        </w:rPr>
        <w:t xml:space="preserve"> </w:t>
      </w:r>
    </w:p>
    <w:p w14:paraId="738B5885" w14:textId="77777777" w:rsidR="000D51BD" w:rsidRDefault="000D51BD" w:rsidP="000D51BD">
      <w:pPr>
        <w:pStyle w:val="Style1"/>
        <w:numPr>
          <w:ilvl w:val="0"/>
          <w:numId w:val="0"/>
        </w:numPr>
        <w:ind w:left="426"/>
        <w:rPr>
          <w:rFonts w:ascii="Monotype Corsiva" w:hAnsi="Monotype Corsiva" w:cs="Arial"/>
          <w:sz w:val="36"/>
          <w:szCs w:val="36"/>
        </w:rPr>
      </w:pPr>
    </w:p>
    <w:p w14:paraId="43CFD37D" w14:textId="77777777" w:rsidR="00B22702" w:rsidRPr="000D51BD" w:rsidRDefault="000D51BD" w:rsidP="000D51BD">
      <w:pPr>
        <w:pStyle w:val="Style1"/>
        <w:numPr>
          <w:ilvl w:val="0"/>
          <w:numId w:val="0"/>
        </w:numPr>
        <w:ind w:left="426"/>
        <w:rPr>
          <w:rFonts w:ascii="Monotype Corsiva" w:hAnsi="Monotype Corsiva" w:cs="Arial"/>
          <w:sz w:val="36"/>
          <w:szCs w:val="36"/>
        </w:rPr>
      </w:pPr>
      <w:r w:rsidRPr="000D51BD">
        <w:rPr>
          <w:rFonts w:ascii="Monotype Corsiva" w:hAnsi="Monotype Corsiva" w:cs="Arial"/>
          <w:sz w:val="36"/>
          <w:szCs w:val="36"/>
        </w:rPr>
        <w:t>Nigel Farthing</w:t>
      </w:r>
    </w:p>
    <w:p w14:paraId="16F12EEA" w14:textId="77777777" w:rsidR="002C6E5C" w:rsidRDefault="00353C22" w:rsidP="00765650">
      <w:pPr>
        <w:pStyle w:val="Style1"/>
        <w:numPr>
          <w:ilvl w:val="0"/>
          <w:numId w:val="0"/>
        </w:numPr>
        <w:rPr>
          <w:b/>
        </w:rPr>
      </w:pPr>
      <w:r w:rsidRPr="009F6529">
        <w:rPr>
          <w:rFonts w:ascii="Arial" w:hAnsi="Arial" w:cs="Arial"/>
          <w:b/>
        </w:rPr>
        <w:lastRenderedPageBreak/>
        <w:tab/>
      </w:r>
      <w:r w:rsidR="00B22702" w:rsidRPr="009F6529">
        <w:rPr>
          <w:rFonts w:ascii="Arial" w:hAnsi="Arial" w:cs="Arial"/>
          <w:b/>
        </w:rPr>
        <w:t>Inspector</w:t>
      </w: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22EE" w14:textId="77777777" w:rsidR="00B0526E" w:rsidRDefault="00B0526E" w:rsidP="00F62916">
      <w:r>
        <w:separator/>
      </w:r>
    </w:p>
  </w:endnote>
  <w:endnote w:type="continuationSeparator" w:id="0">
    <w:p w14:paraId="120E6355" w14:textId="77777777" w:rsidR="00B0526E" w:rsidRDefault="00B0526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EEE5"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551FF">
      <w:rPr>
        <w:rStyle w:val="PageNumber"/>
      </w:rPr>
      <w:fldChar w:fldCharType="separate"/>
    </w:r>
    <w:r w:rsidR="00390284">
      <w:rPr>
        <w:rStyle w:val="PageNumber"/>
        <w:noProof/>
      </w:rPr>
      <w:t>10</w:t>
    </w:r>
    <w:r>
      <w:rPr>
        <w:rStyle w:val="PageNumber"/>
      </w:rPr>
      <w:fldChar w:fldCharType="end"/>
    </w:r>
  </w:p>
  <w:p w14:paraId="33FA7520"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803B" w14:textId="5BAEBC6B" w:rsidR="00C57B84" w:rsidRDefault="00970A38" w:rsidP="001D1C79">
    <w:pPr>
      <w:pStyle w:val="Noindent"/>
      <w:spacing w:before="60"/>
      <w:jc w:val="center"/>
      <w:rPr>
        <w:rStyle w:val="PageNumber"/>
      </w:rPr>
    </w:pPr>
    <w:r>
      <w:rPr>
        <w:noProof/>
        <w:sz w:val="18"/>
      </w:rPr>
      <mc:AlternateContent>
        <mc:Choice Requires="wps">
          <w:drawing>
            <wp:anchor distT="0" distB="0" distL="114300" distR="114300" simplePos="0" relativeHeight="251658752" behindDoc="0" locked="0" layoutInCell="1" allowOverlap="1" wp14:anchorId="753EF77A" wp14:editId="166A6D7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A89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4C909F0"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061F" w14:textId="3E06768D" w:rsidR="00C57B84" w:rsidRDefault="00970A38"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BA8EE79" wp14:editId="0BF7706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90E0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7A95" w14:textId="77777777" w:rsidR="00B0526E" w:rsidRDefault="00B0526E" w:rsidP="00F62916">
      <w:r>
        <w:separator/>
      </w:r>
    </w:p>
  </w:footnote>
  <w:footnote w:type="continuationSeparator" w:id="0">
    <w:p w14:paraId="76AE7F6A" w14:textId="77777777" w:rsidR="00B0526E" w:rsidRDefault="00B0526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402BE32" w14:textId="77777777">
      <w:tblPrEx>
        <w:tblCellMar>
          <w:top w:w="0" w:type="dxa"/>
          <w:bottom w:w="0" w:type="dxa"/>
        </w:tblCellMar>
      </w:tblPrEx>
      <w:tc>
        <w:tcPr>
          <w:tcW w:w="9520" w:type="dxa"/>
        </w:tcPr>
        <w:p w14:paraId="6609E0D2" w14:textId="77777777" w:rsidR="004665A2" w:rsidRPr="004665A2" w:rsidRDefault="007277A3" w:rsidP="00C16168">
          <w:pPr>
            <w:pStyle w:val="Footer"/>
            <w:rPr>
              <w:rFonts w:ascii="Arial" w:hAnsi="Arial" w:cs="Arial"/>
            </w:rPr>
          </w:pPr>
          <w:r w:rsidRPr="004665A2">
            <w:rPr>
              <w:rFonts w:ascii="Arial" w:hAnsi="Arial" w:cs="Arial"/>
            </w:rPr>
            <w:t>Appeal</w:t>
          </w:r>
          <w:r w:rsidR="00DD37E9" w:rsidRPr="004665A2">
            <w:rPr>
              <w:rFonts w:ascii="Arial" w:hAnsi="Arial" w:cs="Arial"/>
            </w:rPr>
            <w:t xml:space="preserve"> Decisi</w:t>
          </w:r>
          <w:r w:rsidR="002C6E5C" w:rsidRPr="004665A2">
            <w:rPr>
              <w:rFonts w:ascii="Arial" w:hAnsi="Arial" w:cs="Arial"/>
            </w:rPr>
            <w:t xml:space="preserve">on </w:t>
          </w:r>
          <w:r w:rsidR="00FF0129">
            <w:rPr>
              <w:rFonts w:ascii="Arial" w:hAnsi="Arial" w:cs="Arial"/>
            </w:rPr>
            <w:t>ROW/3325911</w:t>
          </w:r>
        </w:p>
      </w:tc>
    </w:tr>
  </w:tbl>
  <w:p w14:paraId="184738D7" w14:textId="7F53BB0C" w:rsidR="00C57B84" w:rsidRDefault="00970A38" w:rsidP="004665A2">
    <w:pPr>
      <w:pStyle w:val="Footer"/>
      <w:tabs>
        <w:tab w:val="clear" w:pos="4153"/>
        <w:tab w:val="clear" w:pos="8306"/>
        <w:tab w:val="left" w:pos="5210"/>
      </w:tabs>
      <w:spacing w:after="120"/>
    </w:pPr>
    <w:r>
      <w:rPr>
        <w:noProof/>
      </w:rPr>
      <mc:AlternateContent>
        <mc:Choice Requires="wps">
          <w:drawing>
            <wp:anchor distT="0" distB="0" distL="114300" distR="114300" simplePos="0" relativeHeight="251657728" behindDoc="0" locked="0" layoutInCell="1" allowOverlap="1" wp14:anchorId="2E831164" wp14:editId="327039E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B8B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r w:rsidR="004665A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C23C"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1"/>
        </w:tabs>
        <w:ind w:left="-361" w:hanging="360"/>
      </w:pPr>
    </w:lvl>
  </w:abstractNum>
  <w:abstractNum w:abstractNumId="1" w15:restartNumberingAfterBreak="0">
    <w:nsid w:val="069C48AF"/>
    <w:multiLevelType w:val="hybridMultilevel"/>
    <w:tmpl w:val="8F3ECA30"/>
    <w:lvl w:ilvl="0" w:tplc="4DE49C4C">
      <w:start w:val="1"/>
      <w:numFmt w:val="upperLetter"/>
      <w:lvlText w:val="%1."/>
      <w:lvlJc w:val="left"/>
      <w:pPr>
        <w:ind w:left="1572" w:hanging="360"/>
      </w:pPr>
      <w:rPr>
        <w:rFonts w:hint="default"/>
        <w:color w:val="00000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654557"/>
    <w:multiLevelType w:val="hybridMultilevel"/>
    <w:tmpl w:val="E1725322"/>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F545B"/>
    <w:multiLevelType w:val="hybridMultilevel"/>
    <w:tmpl w:val="80E67FEA"/>
    <w:lvl w:ilvl="0" w:tplc="25080162">
      <w:start w:val="1"/>
      <w:numFmt w:val="lowerLetter"/>
      <w:lvlText w:val="%1."/>
      <w:lvlJc w:val="left"/>
      <w:pPr>
        <w:ind w:left="2520" w:hanging="360"/>
      </w:pPr>
      <w:rPr>
        <w:rFonts w:hint="default"/>
        <w:color w:val="00000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613EEF70"/>
    <w:lvl w:ilvl="0">
      <w:start w:val="1"/>
      <w:numFmt w:val="decimal"/>
      <w:pStyle w:val="Style1"/>
      <w:lvlText w:val="%1."/>
      <w:lvlJc w:val="left"/>
      <w:pPr>
        <w:tabs>
          <w:tab w:val="num" w:pos="1145"/>
        </w:tabs>
        <w:ind w:left="857" w:hanging="432"/>
      </w:pPr>
      <w:rPr>
        <w:i w:val="0"/>
        <w:iCs w:val="0"/>
      </w:rPr>
    </w:lvl>
    <w:lvl w:ilvl="1">
      <w:start w:val="1"/>
      <w:numFmt w:val="decimal"/>
      <w:pStyle w:val="Heading2"/>
      <w:lvlText w:val="%1.%2"/>
      <w:lvlJc w:val="left"/>
      <w:pPr>
        <w:tabs>
          <w:tab w:val="num" w:pos="-1616"/>
        </w:tabs>
        <w:ind w:left="-1616" w:hanging="576"/>
      </w:pPr>
    </w:lvl>
    <w:lvl w:ilvl="2">
      <w:start w:val="1"/>
      <w:numFmt w:val="decimal"/>
      <w:pStyle w:val="Heading3"/>
      <w:lvlText w:val="%1.%2.%3"/>
      <w:lvlJc w:val="left"/>
      <w:pPr>
        <w:tabs>
          <w:tab w:val="num" w:pos="-1472"/>
        </w:tabs>
        <w:ind w:left="-1472" w:hanging="720"/>
      </w:pPr>
    </w:lvl>
    <w:lvl w:ilvl="3">
      <w:start w:val="1"/>
      <w:numFmt w:val="decimal"/>
      <w:pStyle w:val="Heading4"/>
      <w:lvlText w:val="%1.%2.%3.%4"/>
      <w:lvlJc w:val="left"/>
      <w:pPr>
        <w:tabs>
          <w:tab w:val="num" w:pos="-1328"/>
        </w:tabs>
        <w:ind w:left="-1328" w:hanging="864"/>
      </w:pPr>
    </w:lvl>
    <w:lvl w:ilvl="4">
      <w:start w:val="1"/>
      <w:numFmt w:val="decimal"/>
      <w:pStyle w:val="Heading5"/>
      <w:lvlText w:val="%1.%2.%3.%4.%5"/>
      <w:lvlJc w:val="left"/>
      <w:pPr>
        <w:tabs>
          <w:tab w:val="num" w:pos="-1184"/>
        </w:tabs>
        <w:ind w:left="-1184" w:hanging="1008"/>
      </w:pPr>
    </w:lvl>
    <w:lvl w:ilvl="5">
      <w:start w:val="1"/>
      <w:numFmt w:val="decimal"/>
      <w:lvlText w:val="%1.%2.%3.%4.%5.%6"/>
      <w:lvlJc w:val="left"/>
      <w:pPr>
        <w:tabs>
          <w:tab w:val="num" w:pos="-1040"/>
        </w:tabs>
        <w:ind w:left="-1040" w:hanging="1152"/>
      </w:pPr>
    </w:lvl>
    <w:lvl w:ilvl="6">
      <w:start w:val="1"/>
      <w:numFmt w:val="decimal"/>
      <w:pStyle w:val="Heading7"/>
      <w:lvlText w:val="%1.%2.%3.%4.%5.%6.%7"/>
      <w:lvlJc w:val="left"/>
      <w:pPr>
        <w:tabs>
          <w:tab w:val="num" w:pos="-896"/>
        </w:tabs>
        <w:ind w:left="-896" w:hanging="1296"/>
      </w:pPr>
    </w:lvl>
    <w:lvl w:ilvl="7">
      <w:start w:val="1"/>
      <w:numFmt w:val="decimal"/>
      <w:pStyle w:val="Heading8"/>
      <w:lvlText w:val="%1.%2.%3.%4.%5.%6.%7.%8"/>
      <w:lvlJc w:val="left"/>
      <w:pPr>
        <w:tabs>
          <w:tab w:val="num" w:pos="-752"/>
        </w:tabs>
        <w:ind w:left="-752" w:hanging="1440"/>
      </w:pPr>
    </w:lvl>
    <w:lvl w:ilvl="8">
      <w:start w:val="1"/>
      <w:numFmt w:val="decimal"/>
      <w:pStyle w:val="Heading9"/>
      <w:lvlText w:val="%1.%2.%3.%4.%5.%6.%7.%8.%9"/>
      <w:lvlJc w:val="left"/>
      <w:pPr>
        <w:tabs>
          <w:tab w:val="num" w:pos="-608"/>
        </w:tabs>
        <w:ind w:left="-608" w:hanging="1584"/>
      </w:pPr>
    </w:lvl>
  </w:abstractNum>
  <w:abstractNum w:abstractNumId="9"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1163985">
    <w:abstractNumId w:val="9"/>
  </w:num>
  <w:num w:numId="2" w16cid:durableId="1577471588">
    <w:abstractNumId w:val="9"/>
  </w:num>
  <w:num w:numId="3" w16cid:durableId="673990917">
    <w:abstractNumId w:val="10"/>
  </w:num>
  <w:num w:numId="4" w16cid:durableId="202986799">
    <w:abstractNumId w:val="0"/>
  </w:num>
  <w:num w:numId="5" w16cid:durableId="1178691257">
    <w:abstractNumId w:val="3"/>
  </w:num>
  <w:num w:numId="6" w16cid:durableId="135028604">
    <w:abstractNumId w:val="8"/>
  </w:num>
  <w:num w:numId="7" w16cid:durableId="1491748900">
    <w:abstractNumId w:val="11"/>
  </w:num>
  <w:num w:numId="8" w16cid:durableId="1158375137">
    <w:abstractNumId w:val="7"/>
  </w:num>
  <w:num w:numId="9" w16cid:durableId="591743797">
    <w:abstractNumId w:val="2"/>
  </w:num>
  <w:num w:numId="10" w16cid:durableId="1900355941">
    <w:abstractNumId w:val="5"/>
  </w:num>
  <w:num w:numId="11" w16cid:durableId="1305499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70936">
    <w:abstractNumId w:val="8"/>
  </w:num>
  <w:num w:numId="13" w16cid:durableId="1438451492">
    <w:abstractNumId w:val="4"/>
  </w:num>
  <w:num w:numId="14" w16cid:durableId="420488330">
    <w:abstractNumId w:val="1"/>
  </w:num>
  <w:num w:numId="15" w16cid:durableId="193484947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70C2"/>
    <w:rsid w:val="00007272"/>
    <w:rsid w:val="00007357"/>
    <w:rsid w:val="00011435"/>
    <w:rsid w:val="0001196D"/>
    <w:rsid w:val="00012A3F"/>
    <w:rsid w:val="00013C61"/>
    <w:rsid w:val="000151AE"/>
    <w:rsid w:val="000162BC"/>
    <w:rsid w:val="00017289"/>
    <w:rsid w:val="00017E74"/>
    <w:rsid w:val="00020719"/>
    <w:rsid w:val="00020CB8"/>
    <w:rsid w:val="000239E5"/>
    <w:rsid w:val="00024749"/>
    <w:rsid w:val="00024A84"/>
    <w:rsid w:val="00024B6E"/>
    <w:rsid w:val="00030778"/>
    <w:rsid w:val="00031D70"/>
    <w:rsid w:val="000324BB"/>
    <w:rsid w:val="00033B79"/>
    <w:rsid w:val="0003407C"/>
    <w:rsid w:val="00041A8D"/>
    <w:rsid w:val="000421E1"/>
    <w:rsid w:val="00043E54"/>
    <w:rsid w:val="00046024"/>
    <w:rsid w:val="00046145"/>
    <w:rsid w:val="0004625F"/>
    <w:rsid w:val="000463BA"/>
    <w:rsid w:val="00047A01"/>
    <w:rsid w:val="00050761"/>
    <w:rsid w:val="00051EC3"/>
    <w:rsid w:val="00053135"/>
    <w:rsid w:val="00054706"/>
    <w:rsid w:val="00054D26"/>
    <w:rsid w:val="00060782"/>
    <w:rsid w:val="00060B9E"/>
    <w:rsid w:val="000624BF"/>
    <w:rsid w:val="00062D9A"/>
    <w:rsid w:val="0006329A"/>
    <w:rsid w:val="00065C30"/>
    <w:rsid w:val="00066C96"/>
    <w:rsid w:val="000678D2"/>
    <w:rsid w:val="000701C2"/>
    <w:rsid w:val="0007229F"/>
    <w:rsid w:val="000737DE"/>
    <w:rsid w:val="00073B96"/>
    <w:rsid w:val="000740C2"/>
    <w:rsid w:val="000741E5"/>
    <w:rsid w:val="00074CA4"/>
    <w:rsid w:val="00077358"/>
    <w:rsid w:val="0007788F"/>
    <w:rsid w:val="000826FE"/>
    <w:rsid w:val="000875A3"/>
    <w:rsid w:val="00087DEC"/>
    <w:rsid w:val="00093DBF"/>
    <w:rsid w:val="00095014"/>
    <w:rsid w:val="00097F9B"/>
    <w:rsid w:val="000A0111"/>
    <w:rsid w:val="000A21CE"/>
    <w:rsid w:val="000A313D"/>
    <w:rsid w:val="000A3E4C"/>
    <w:rsid w:val="000A427E"/>
    <w:rsid w:val="000A4AEB"/>
    <w:rsid w:val="000A64AE"/>
    <w:rsid w:val="000A669C"/>
    <w:rsid w:val="000A75E2"/>
    <w:rsid w:val="000B05F5"/>
    <w:rsid w:val="000B0686"/>
    <w:rsid w:val="000B0FEA"/>
    <w:rsid w:val="000B2D7B"/>
    <w:rsid w:val="000B3AC4"/>
    <w:rsid w:val="000B4D75"/>
    <w:rsid w:val="000C3F13"/>
    <w:rsid w:val="000C698E"/>
    <w:rsid w:val="000C6EC9"/>
    <w:rsid w:val="000D0673"/>
    <w:rsid w:val="000D0B90"/>
    <w:rsid w:val="000D2BC2"/>
    <w:rsid w:val="000D51BD"/>
    <w:rsid w:val="000D64AE"/>
    <w:rsid w:val="000D7592"/>
    <w:rsid w:val="000E0B56"/>
    <w:rsid w:val="000E3DF7"/>
    <w:rsid w:val="000E65FF"/>
    <w:rsid w:val="000F39B7"/>
    <w:rsid w:val="000F55A8"/>
    <w:rsid w:val="000F5912"/>
    <w:rsid w:val="000F6991"/>
    <w:rsid w:val="001000CB"/>
    <w:rsid w:val="00101AD8"/>
    <w:rsid w:val="00103897"/>
    <w:rsid w:val="001047CE"/>
    <w:rsid w:val="00104FC9"/>
    <w:rsid w:val="00107168"/>
    <w:rsid w:val="00110F9D"/>
    <w:rsid w:val="001120DA"/>
    <w:rsid w:val="0011219D"/>
    <w:rsid w:val="00112533"/>
    <w:rsid w:val="00114400"/>
    <w:rsid w:val="00115F3E"/>
    <w:rsid w:val="00121615"/>
    <w:rsid w:val="00121B21"/>
    <w:rsid w:val="00122CE1"/>
    <w:rsid w:val="00123243"/>
    <w:rsid w:val="00123E18"/>
    <w:rsid w:val="001243A2"/>
    <w:rsid w:val="00125E7F"/>
    <w:rsid w:val="00127B8D"/>
    <w:rsid w:val="00127B8F"/>
    <w:rsid w:val="001312AC"/>
    <w:rsid w:val="00131829"/>
    <w:rsid w:val="00133172"/>
    <w:rsid w:val="001339A7"/>
    <w:rsid w:val="00134C79"/>
    <w:rsid w:val="0014032A"/>
    <w:rsid w:val="00141723"/>
    <w:rsid w:val="00142CA3"/>
    <w:rsid w:val="00143598"/>
    <w:rsid w:val="00144841"/>
    <w:rsid w:val="00144EC3"/>
    <w:rsid w:val="00145FAD"/>
    <w:rsid w:val="0014693B"/>
    <w:rsid w:val="0014716E"/>
    <w:rsid w:val="00150BB9"/>
    <w:rsid w:val="00152A90"/>
    <w:rsid w:val="00152C92"/>
    <w:rsid w:val="00154971"/>
    <w:rsid w:val="001551FF"/>
    <w:rsid w:val="0015767F"/>
    <w:rsid w:val="00157EF4"/>
    <w:rsid w:val="00161B41"/>
    <w:rsid w:val="001630FF"/>
    <w:rsid w:val="00163279"/>
    <w:rsid w:val="00165A92"/>
    <w:rsid w:val="00166980"/>
    <w:rsid w:val="001676B2"/>
    <w:rsid w:val="00167B80"/>
    <w:rsid w:val="00171804"/>
    <w:rsid w:val="001729B8"/>
    <w:rsid w:val="00172A0A"/>
    <w:rsid w:val="00172F98"/>
    <w:rsid w:val="001742F2"/>
    <w:rsid w:val="001758B7"/>
    <w:rsid w:val="00176A2B"/>
    <w:rsid w:val="001801C6"/>
    <w:rsid w:val="00181AC5"/>
    <w:rsid w:val="00181D5C"/>
    <w:rsid w:val="00182386"/>
    <w:rsid w:val="001830E8"/>
    <w:rsid w:val="00184D37"/>
    <w:rsid w:val="001851F4"/>
    <w:rsid w:val="001861D7"/>
    <w:rsid w:val="001865C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4F71"/>
    <w:rsid w:val="001B124E"/>
    <w:rsid w:val="001B1705"/>
    <w:rsid w:val="001B36F4"/>
    <w:rsid w:val="001B394B"/>
    <w:rsid w:val="001B3C24"/>
    <w:rsid w:val="001B431C"/>
    <w:rsid w:val="001B7B2D"/>
    <w:rsid w:val="001B7C59"/>
    <w:rsid w:val="001C0E2E"/>
    <w:rsid w:val="001C2DC8"/>
    <w:rsid w:val="001C2F8B"/>
    <w:rsid w:val="001C36C8"/>
    <w:rsid w:val="001C6E2B"/>
    <w:rsid w:val="001C7A9A"/>
    <w:rsid w:val="001D0A96"/>
    <w:rsid w:val="001D1C79"/>
    <w:rsid w:val="001D2191"/>
    <w:rsid w:val="001D2C66"/>
    <w:rsid w:val="001D4AC8"/>
    <w:rsid w:val="001D520A"/>
    <w:rsid w:val="001D6CB8"/>
    <w:rsid w:val="001E28E1"/>
    <w:rsid w:val="001E2B9E"/>
    <w:rsid w:val="001E2FE7"/>
    <w:rsid w:val="001E364F"/>
    <w:rsid w:val="001E4DC4"/>
    <w:rsid w:val="001E5F71"/>
    <w:rsid w:val="001E6810"/>
    <w:rsid w:val="001E6F06"/>
    <w:rsid w:val="001F2E1D"/>
    <w:rsid w:val="001F3497"/>
    <w:rsid w:val="001F37C4"/>
    <w:rsid w:val="001F39A5"/>
    <w:rsid w:val="001F3E40"/>
    <w:rsid w:val="001F4022"/>
    <w:rsid w:val="001F413B"/>
    <w:rsid w:val="001F561B"/>
    <w:rsid w:val="001F598F"/>
    <w:rsid w:val="001F6B1E"/>
    <w:rsid w:val="00201512"/>
    <w:rsid w:val="00201A75"/>
    <w:rsid w:val="00202C81"/>
    <w:rsid w:val="002039F7"/>
    <w:rsid w:val="00203C65"/>
    <w:rsid w:val="00204FD8"/>
    <w:rsid w:val="00207816"/>
    <w:rsid w:val="00212C8F"/>
    <w:rsid w:val="00214060"/>
    <w:rsid w:val="002162A2"/>
    <w:rsid w:val="00216F63"/>
    <w:rsid w:val="00216F73"/>
    <w:rsid w:val="002174D4"/>
    <w:rsid w:val="00221F46"/>
    <w:rsid w:val="00225F29"/>
    <w:rsid w:val="00232C48"/>
    <w:rsid w:val="00234AF5"/>
    <w:rsid w:val="0023765D"/>
    <w:rsid w:val="0023789E"/>
    <w:rsid w:val="0024150E"/>
    <w:rsid w:val="00241E6D"/>
    <w:rsid w:val="00242A5E"/>
    <w:rsid w:val="00242B70"/>
    <w:rsid w:val="00245769"/>
    <w:rsid w:val="002458D7"/>
    <w:rsid w:val="00247D92"/>
    <w:rsid w:val="00250093"/>
    <w:rsid w:val="00250EF8"/>
    <w:rsid w:val="002536AE"/>
    <w:rsid w:val="00253881"/>
    <w:rsid w:val="002554FB"/>
    <w:rsid w:val="00260F8E"/>
    <w:rsid w:val="002615F9"/>
    <w:rsid w:val="00262D14"/>
    <w:rsid w:val="002666C9"/>
    <w:rsid w:val="002678B4"/>
    <w:rsid w:val="0026792B"/>
    <w:rsid w:val="00271B38"/>
    <w:rsid w:val="002746CD"/>
    <w:rsid w:val="00274D05"/>
    <w:rsid w:val="00276769"/>
    <w:rsid w:val="00276C12"/>
    <w:rsid w:val="00280580"/>
    <w:rsid w:val="00281087"/>
    <w:rsid w:val="00282B59"/>
    <w:rsid w:val="00285603"/>
    <w:rsid w:val="00287CE5"/>
    <w:rsid w:val="00290340"/>
    <w:rsid w:val="0029042A"/>
    <w:rsid w:val="00290EC1"/>
    <w:rsid w:val="00291DA2"/>
    <w:rsid w:val="00292365"/>
    <w:rsid w:val="00294485"/>
    <w:rsid w:val="002953DD"/>
    <w:rsid w:val="00296CB6"/>
    <w:rsid w:val="002A0A00"/>
    <w:rsid w:val="002A1C91"/>
    <w:rsid w:val="002A4176"/>
    <w:rsid w:val="002A50BB"/>
    <w:rsid w:val="002A6C62"/>
    <w:rsid w:val="002B239E"/>
    <w:rsid w:val="002B316A"/>
    <w:rsid w:val="002B52BB"/>
    <w:rsid w:val="002C068A"/>
    <w:rsid w:val="002C56D0"/>
    <w:rsid w:val="002C6375"/>
    <w:rsid w:val="002C6661"/>
    <w:rsid w:val="002C6E5C"/>
    <w:rsid w:val="002C73A5"/>
    <w:rsid w:val="002C7731"/>
    <w:rsid w:val="002C79DB"/>
    <w:rsid w:val="002D4C36"/>
    <w:rsid w:val="002E0CA5"/>
    <w:rsid w:val="002E5B14"/>
    <w:rsid w:val="002E5D7E"/>
    <w:rsid w:val="002E6B7A"/>
    <w:rsid w:val="00301D90"/>
    <w:rsid w:val="00301F28"/>
    <w:rsid w:val="00302E9D"/>
    <w:rsid w:val="0030500E"/>
    <w:rsid w:val="003077B2"/>
    <w:rsid w:val="003135E8"/>
    <w:rsid w:val="003150A4"/>
    <w:rsid w:val="00315D14"/>
    <w:rsid w:val="00316B71"/>
    <w:rsid w:val="00316BDF"/>
    <w:rsid w:val="003206FD"/>
    <w:rsid w:val="0032100A"/>
    <w:rsid w:val="003217E9"/>
    <w:rsid w:val="00321BE2"/>
    <w:rsid w:val="003240F9"/>
    <w:rsid w:val="00325123"/>
    <w:rsid w:val="00325951"/>
    <w:rsid w:val="00325C69"/>
    <w:rsid w:val="00326762"/>
    <w:rsid w:val="00331F8C"/>
    <w:rsid w:val="00333E26"/>
    <w:rsid w:val="00334366"/>
    <w:rsid w:val="00334430"/>
    <w:rsid w:val="003374A8"/>
    <w:rsid w:val="00343331"/>
    <w:rsid w:val="00343A1F"/>
    <w:rsid w:val="00344294"/>
    <w:rsid w:val="00344375"/>
    <w:rsid w:val="00344CD1"/>
    <w:rsid w:val="00345422"/>
    <w:rsid w:val="00345827"/>
    <w:rsid w:val="00345A88"/>
    <w:rsid w:val="0034650B"/>
    <w:rsid w:val="00347923"/>
    <w:rsid w:val="003510CE"/>
    <w:rsid w:val="003512B9"/>
    <w:rsid w:val="00353A93"/>
    <w:rsid w:val="00353C22"/>
    <w:rsid w:val="00353E70"/>
    <w:rsid w:val="00354280"/>
    <w:rsid w:val="00355A19"/>
    <w:rsid w:val="00356A63"/>
    <w:rsid w:val="00360664"/>
    <w:rsid w:val="00361193"/>
    <w:rsid w:val="00361890"/>
    <w:rsid w:val="003636E8"/>
    <w:rsid w:val="0036492B"/>
    <w:rsid w:val="00364E17"/>
    <w:rsid w:val="00370052"/>
    <w:rsid w:val="00371B1A"/>
    <w:rsid w:val="003729D6"/>
    <w:rsid w:val="00376374"/>
    <w:rsid w:val="00376E54"/>
    <w:rsid w:val="00377BFC"/>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34FC"/>
    <w:rsid w:val="003A58A7"/>
    <w:rsid w:val="003A629F"/>
    <w:rsid w:val="003B2C48"/>
    <w:rsid w:val="003B2FE6"/>
    <w:rsid w:val="003B3EC1"/>
    <w:rsid w:val="003B65D4"/>
    <w:rsid w:val="003B6B3A"/>
    <w:rsid w:val="003B6CAC"/>
    <w:rsid w:val="003C6299"/>
    <w:rsid w:val="003C64A1"/>
    <w:rsid w:val="003D0DDA"/>
    <w:rsid w:val="003D1F07"/>
    <w:rsid w:val="003D3D82"/>
    <w:rsid w:val="003D577F"/>
    <w:rsid w:val="003E08D0"/>
    <w:rsid w:val="003E1208"/>
    <w:rsid w:val="003E1D94"/>
    <w:rsid w:val="003E2156"/>
    <w:rsid w:val="003E4463"/>
    <w:rsid w:val="003E4471"/>
    <w:rsid w:val="003E71CC"/>
    <w:rsid w:val="003F07A6"/>
    <w:rsid w:val="003F0B6E"/>
    <w:rsid w:val="003F0BA3"/>
    <w:rsid w:val="003F1D94"/>
    <w:rsid w:val="003F1FAF"/>
    <w:rsid w:val="003F3572"/>
    <w:rsid w:val="003F75DB"/>
    <w:rsid w:val="003F762F"/>
    <w:rsid w:val="00400F05"/>
    <w:rsid w:val="0040201A"/>
    <w:rsid w:val="00402B9D"/>
    <w:rsid w:val="00406936"/>
    <w:rsid w:val="00407005"/>
    <w:rsid w:val="00412E31"/>
    <w:rsid w:val="004133F6"/>
    <w:rsid w:val="00414C02"/>
    <w:rsid w:val="0041539C"/>
    <w:rsid w:val="004156F0"/>
    <w:rsid w:val="0041618C"/>
    <w:rsid w:val="004167F8"/>
    <w:rsid w:val="004177B7"/>
    <w:rsid w:val="00417CEC"/>
    <w:rsid w:val="00420637"/>
    <w:rsid w:val="00420F3E"/>
    <w:rsid w:val="004214C1"/>
    <w:rsid w:val="0042391D"/>
    <w:rsid w:val="004276A6"/>
    <w:rsid w:val="004279F3"/>
    <w:rsid w:val="0043299F"/>
    <w:rsid w:val="00434B86"/>
    <w:rsid w:val="00434FB1"/>
    <w:rsid w:val="00435D9C"/>
    <w:rsid w:val="00435F3A"/>
    <w:rsid w:val="004375C2"/>
    <w:rsid w:val="00441728"/>
    <w:rsid w:val="0044233A"/>
    <w:rsid w:val="00442FA7"/>
    <w:rsid w:val="00445441"/>
    <w:rsid w:val="00445B7D"/>
    <w:rsid w:val="00446B0B"/>
    <w:rsid w:val="004474DE"/>
    <w:rsid w:val="00451BE2"/>
    <w:rsid w:val="00452393"/>
    <w:rsid w:val="00453E15"/>
    <w:rsid w:val="00455AD0"/>
    <w:rsid w:val="00457595"/>
    <w:rsid w:val="004579D5"/>
    <w:rsid w:val="0046030F"/>
    <w:rsid w:val="0046202A"/>
    <w:rsid w:val="00463E8D"/>
    <w:rsid w:val="004665A2"/>
    <w:rsid w:val="00466C73"/>
    <w:rsid w:val="00470BE8"/>
    <w:rsid w:val="00471775"/>
    <w:rsid w:val="00471B16"/>
    <w:rsid w:val="004738F4"/>
    <w:rsid w:val="00474054"/>
    <w:rsid w:val="00476E73"/>
    <w:rsid w:val="0048041A"/>
    <w:rsid w:val="00482BDD"/>
    <w:rsid w:val="00487478"/>
    <w:rsid w:val="004902DB"/>
    <w:rsid w:val="00492038"/>
    <w:rsid w:val="00496BC8"/>
    <w:rsid w:val="004976CF"/>
    <w:rsid w:val="004A19B2"/>
    <w:rsid w:val="004A24CE"/>
    <w:rsid w:val="004A2EB8"/>
    <w:rsid w:val="004A46C4"/>
    <w:rsid w:val="004A602B"/>
    <w:rsid w:val="004A73E6"/>
    <w:rsid w:val="004A75EA"/>
    <w:rsid w:val="004B17C8"/>
    <w:rsid w:val="004B17C9"/>
    <w:rsid w:val="004B46CA"/>
    <w:rsid w:val="004B4F8A"/>
    <w:rsid w:val="004C07CB"/>
    <w:rsid w:val="004C22DF"/>
    <w:rsid w:val="004C2A4A"/>
    <w:rsid w:val="004C4E4C"/>
    <w:rsid w:val="004C531B"/>
    <w:rsid w:val="004C64DB"/>
    <w:rsid w:val="004C7587"/>
    <w:rsid w:val="004D181D"/>
    <w:rsid w:val="004D5098"/>
    <w:rsid w:val="004D54C4"/>
    <w:rsid w:val="004D6442"/>
    <w:rsid w:val="004D7AD3"/>
    <w:rsid w:val="004E102E"/>
    <w:rsid w:val="004E1E6B"/>
    <w:rsid w:val="004E1EE5"/>
    <w:rsid w:val="004E2126"/>
    <w:rsid w:val="004E23CE"/>
    <w:rsid w:val="004E59D9"/>
    <w:rsid w:val="004E6091"/>
    <w:rsid w:val="004E749D"/>
    <w:rsid w:val="004F33E3"/>
    <w:rsid w:val="004F65E6"/>
    <w:rsid w:val="004F665F"/>
    <w:rsid w:val="004F6D0D"/>
    <w:rsid w:val="004F7665"/>
    <w:rsid w:val="00500BDB"/>
    <w:rsid w:val="005027B1"/>
    <w:rsid w:val="0050338F"/>
    <w:rsid w:val="00504818"/>
    <w:rsid w:val="00504C0B"/>
    <w:rsid w:val="00505D63"/>
    <w:rsid w:val="005060F5"/>
    <w:rsid w:val="00506DB3"/>
    <w:rsid w:val="00507527"/>
    <w:rsid w:val="00507FBA"/>
    <w:rsid w:val="005113B4"/>
    <w:rsid w:val="00512561"/>
    <w:rsid w:val="00515967"/>
    <w:rsid w:val="0052347F"/>
    <w:rsid w:val="00523821"/>
    <w:rsid w:val="00523F55"/>
    <w:rsid w:val="00524BD6"/>
    <w:rsid w:val="005268EA"/>
    <w:rsid w:val="00526CE7"/>
    <w:rsid w:val="00526F33"/>
    <w:rsid w:val="00532186"/>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5454"/>
    <w:rsid w:val="0055668D"/>
    <w:rsid w:val="0055745C"/>
    <w:rsid w:val="00557A33"/>
    <w:rsid w:val="00561E69"/>
    <w:rsid w:val="00563F1F"/>
    <w:rsid w:val="00564C43"/>
    <w:rsid w:val="0056634F"/>
    <w:rsid w:val="005670E5"/>
    <w:rsid w:val="005701BF"/>
    <w:rsid w:val="00570E35"/>
    <w:rsid w:val="005718AF"/>
    <w:rsid w:val="00571F36"/>
    <w:rsid w:val="00571FD4"/>
    <w:rsid w:val="00572879"/>
    <w:rsid w:val="005751CC"/>
    <w:rsid w:val="00580710"/>
    <w:rsid w:val="00582077"/>
    <w:rsid w:val="00583C0D"/>
    <w:rsid w:val="00583CEF"/>
    <w:rsid w:val="00584A4E"/>
    <w:rsid w:val="00584D81"/>
    <w:rsid w:val="00585C74"/>
    <w:rsid w:val="00587FB8"/>
    <w:rsid w:val="00590655"/>
    <w:rsid w:val="00591E03"/>
    <w:rsid w:val="00594400"/>
    <w:rsid w:val="005946C9"/>
    <w:rsid w:val="00594BB8"/>
    <w:rsid w:val="00594E67"/>
    <w:rsid w:val="005A3932"/>
    <w:rsid w:val="005A3A64"/>
    <w:rsid w:val="005A3DDE"/>
    <w:rsid w:val="005A433A"/>
    <w:rsid w:val="005A4ABA"/>
    <w:rsid w:val="005A4BF8"/>
    <w:rsid w:val="005A5F75"/>
    <w:rsid w:val="005A6CC0"/>
    <w:rsid w:val="005A7221"/>
    <w:rsid w:val="005A74D4"/>
    <w:rsid w:val="005A7613"/>
    <w:rsid w:val="005B0FD3"/>
    <w:rsid w:val="005B195A"/>
    <w:rsid w:val="005B2B04"/>
    <w:rsid w:val="005B484D"/>
    <w:rsid w:val="005B6008"/>
    <w:rsid w:val="005B625D"/>
    <w:rsid w:val="005B6963"/>
    <w:rsid w:val="005B72FD"/>
    <w:rsid w:val="005B73DD"/>
    <w:rsid w:val="005C1DEE"/>
    <w:rsid w:val="005C2616"/>
    <w:rsid w:val="005C27E3"/>
    <w:rsid w:val="005C34BD"/>
    <w:rsid w:val="005C35CC"/>
    <w:rsid w:val="005C4360"/>
    <w:rsid w:val="005C689A"/>
    <w:rsid w:val="005C6A26"/>
    <w:rsid w:val="005D06EA"/>
    <w:rsid w:val="005D1A23"/>
    <w:rsid w:val="005D4092"/>
    <w:rsid w:val="005D4A25"/>
    <w:rsid w:val="005D4CA9"/>
    <w:rsid w:val="005D6A62"/>
    <w:rsid w:val="005D739E"/>
    <w:rsid w:val="005E34FF"/>
    <w:rsid w:val="005E4D18"/>
    <w:rsid w:val="005E52F9"/>
    <w:rsid w:val="005E563E"/>
    <w:rsid w:val="005E5E5F"/>
    <w:rsid w:val="005E679B"/>
    <w:rsid w:val="005E725A"/>
    <w:rsid w:val="005F1261"/>
    <w:rsid w:val="005F3775"/>
    <w:rsid w:val="005F4396"/>
    <w:rsid w:val="0060135A"/>
    <w:rsid w:val="00602315"/>
    <w:rsid w:val="006029DB"/>
    <w:rsid w:val="00607996"/>
    <w:rsid w:val="006101A3"/>
    <w:rsid w:val="006106A9"/>
    <w:rsid w:val="006134F3"/>
    <w:rsid w:val="00614E46"/>
    <w:rsid w:val="0061767B"/>
    <w:rsid w:val="00620F18"/>
    <w:rsid w:val="00622325"/>
    <w:rsid w:val="00623942"/>
    <w:rsid w:val="00625E30"/>
    <w:rsid w:val="0062764F"/>
    <w:rsid w:val="006277A9"/>
    <w:rsid w:val="006319E6"/>
    <w:rsid w:val="0063353C"/>
    <w:rsid w:val="006341EC"/>
    <w:rsid w:val="00634222"/>
    <w:rsid w:val="00635791"/>
    <w:rsid w:val="00635CF1"/>
    <w:rsid w:val="00636947"/>
    <w:rsid w:val="006370CD"/>
    <w:rsid w:val="00640931"/>
    <w:rsid w:val="00644A83"/>
    <w:rsid w:val="0064644B"/>
    <w:rsid w:val="00653558"/>
    <w:rsid w:val="00653D76"/>
    <w:rsid w:val="00654013"/>
    <w:rsid w:val="006543D2"/>
    <w:rsid w:val="00654A9B"/>
    <w:rsid w:val="00655ABF"/>
    <w:rsid w:val="00655CEB"/>
    <w:rsid w:val="006570E5"/>
    <w:rsid w:val="0065719B"/>
    <w:rsid w:val="006572A0"/>
    <w:rsid w:val="0066025C"/>
    <w:rsid w:val="00661671"/>
    <w:rsid w:val="00662317"/>
    <w:rsid w:val="0066244D"/>
    <w:rsid w:val="00662A71"/>
    <w:rsid w:val="0066322F"/>
    <w:rsid w:val="0066431D"/>
    <w:rsid w:val="00665957"/>
    <w:rsid w:val="00665D4E"/>
    <w:rsid w:val="006662B3"/>
    <w:rsid w:val="00666D6D"/>
    <w:rsid w:val="0067228C"/>
    <w:rsid w:val="006760CE"/>
    <w:rsid w:val="0067795E"/>
    <w:rsid w:val="00680177"/>
    <w:rsid w:val="00683468"/>
    <w:rsid w:val="00684669"/>
    <w:rsid w:val="0068484F"/>
    <w:rsid w:val="006857CB"/>
    <w:rsid w:val="00690340"/>
    <w:rsid w:val="00693B9C"/>
    <w:rsid w:val="006947B0"/>
    <w:rsid w:val="00695033"/>
    <w:rsid w:val="00695420"/>
    <w:rsid w:val="006954A6"/>
    <w:rsid w:val="0069559D"/>
    <w:rsid w:val="00695DDE"/>
    <w:rsid w:val="006A134E"/>
    <w:rsid w:val="006A3235"/>
    <w:rsid w:val="006B1208"/>
    <w:rsid w:val="006B2119"/>
    <w:rsid w:val="006B258D"/>
    <w:rsid w:val="006C018C"/>
    <w:rsid w:val="006C0FEF"/>
    <w:rsid w:val="006C485B"/>
    <w:rsid w:val="006C79DF"/>
    <w:rsid w:val="006D044F"/>
    <w:rsid w:val="006D04BC"/>
    <w:rsid w:val="006D2842"/>
    <w:rsid w:val="006D3138"/>
    <w:rsid w:val="006D6526"/>
    <w:rsid w:val="006E12C7"/>
    <w:rsid w:val="006E15E6"/>
    <w:rsid w:val="006E2401"/>
    <w:rsid w:val="006E2823"/>
    <w:rsid w:val="006E28F1"/>
    <w:rsid w:val="006E2A0D"/>
    <w:rsid w:val="006E2FD8"/>
    <w:rsid w:val="006E31A1"/>
    <w:rsid w:val="006E3A85"/>
    <w:rsid w:val="006E3B1D"/>
    <w:rsid w:val="006E6DB4"/>
    <w:rsid w:val="006F0CD7"/>
    <w:rsid w:val="006F0D77"/>
    <w:rsid w:val="006F19A2"/>
    <w:rsid w:val="006F529C"/>
    <w:rsid w:val="006F5878"/>
    <w:rsid w:val="006F6496"/>
    <w:rsid w:val="006F6D2B"/>
    <w:rsid w:val="007019A7"/>
    <w:rsid w:val="007024A0"/>
    <w:rsid w:val="00707909"/>
    <w:rsid w:val="00707C32"/>
    <w:rsid w:val="00707F31"/>
    <w:rsid w:val="007100BE"/>
    <w:rsid w:val="00713BB9"/>
    <w:rsid w:val="00713DC0"/>
    <w:rsid w:val="00715000"/>
    <w:rsid w:val="00715DA1"/>
    <w:rsid w:val="00720DEF"/>
    <w:rsid w:val="00721B92"/>
    <w:rsid w:val="00722520"/>
    <w:rsid w:val="00722CFD"/>
    <w:rsid w:val="00723C45"/>
    <w:rsid w:val="00724258"/>
    <w:rsid w:val="0072491D"/>
    <w:rsid w:val="0072575F"/>
    <w:rsid w:val="00725932"/>
    <w:rsid w:val="007277A3"/>
    <w:rsid w:val="00727A84"/>
    <w:rsid w:val="00727E10"/>
    <w:rsid w:val="00730A9C"/>
    <w:rsid w:val="00731052"/>
    <w:rsid w:val="00731DBC"/>
    <w:rsid w:val="00731E13"/>
    <w:rsid w:val="00732EFB"/>
    <w:rsid w:val="00733DE8"/>
    <w:rsid w:val="00735B14"/>
    <w:rsid w:val="00736C51"/>
    <w:rsid w:val="007376F3"/>
    <w:rsid w:val="00740BAE"/>
    <w:rsid w:val="00740CE2"/>
    <w:rsid w:val="0074175D"/>
    <w:rsid w:val="00741CBA"/>
    <w:rsid w:val="00741D70"/>
    <w:rsid w:val="007423DB"/>
    <w:rsid w:val="0074254B"/>
    <w:rsid w:val="00742CAB"/>
    <w:rsid w:val="007443F7"/>
    <w:rsid w:val="00755A06"/>
    <w:rsid w:val="0075688C"/>
    <w:rsid w:val="007573EA"/>
    <w:rsid w:val="007611A1"/>
    <w:rsid w:val="00761CED"/>
    <w:rsid w:val="00762085"/>
    <w:rsid w:val="0076374D"/>
    <w:rsid w:val="007643CA"/>
    <w:rsid w:val="007644F0"/>
    <w:rsid w:val="0076521D"/>
    <w:rsid w:val="00765650"/>
    <w:rsid w:val="007658F2"/>
    <w:rsid w:val="00770ADD"/>
    <w:rsid w:val="0077131A"/>
    <w:rsid w:val="0077457D"/>
    <w:rsid w:val="00774C3B"/>
    <w:rsid w:val="00775C43"/>
    <w:rsid w:val="00776E1A"/>
    <w:rsid w:val="007808C9"/>
    <w:rsid w:val="00780CA3"/>
    <w:rsid w:val="00783892"/>
    <w:rsid w:val="007841F2"/>
    <w:rsid w:val="0078431C"/>
    <w:rsid w:val="00784DD4"/>
    <w:rsid w:val="00785862"/>
    <w:rsid w:val="0079139F"/>
    <w:rsid w:val="0079197F"/>
    <w:rsid w:val="007928BA"/>
    <w:rsid w:val="00793335"/>
    <w:rsid w:val="007937EC"/>
    <w:rsid w:val="007942CE"/>
    <w:rsid w:val="00796151"/>
    <w:rsid w:val="007963C2"/>
    <w:rsid w:val="00797723"/>
    <w:rsid w:val="00797EE6"/>
    <w:rsid w:val="007A0537"/>
    <w:rsid w:val="007A1E23"/>
    <w:rsid w:val="007A2939"/>
    <w:rsid w:val="007A2A01"/>
    <w:rsid w:val="007A38D7"/>
    <w:rsid w:val="007A491B"/>
    <w:rsid w:val="007A49E1"/>
    <w:rsid w:val="007A6396"/>
    <w:rsid w:val="007A7E75"/>
    <w:rsid w:val="007B085A"/>
    <w:rsid w:val="007B0CEE"/>
    <w:rsid w:val="007B4109"/>
    <w:rsid w:val="007B44E9"/>
    <w:rsid w:val="007B57D3"/>
    <w:rsid w:val="007B6FE8"/>
    <w:rsid w:val="007C0C81"/>
    <w:rsid w:val="007C130F"/>
    <w:rsid w:val="007C15CA"/>
    <w:rsid w:val="007C1DBC"/>
    <w:rsid w:val="007C2DAA"/>
    <w:rsid w:val="007C41B1"/>
    <w:rsid w:val="007C643E"/>
    <w:rsid w:val="007D0816"/>
    <w:rsid w:val="007D2308"/>
    <w:rsid w:val="007D29DD"/>
    <w:rsid w:val="007D3BE4"/>
    <w:rsid w:val="007D4673"/>
    <w:rsid w:val="007D498B"/>
    <w:rsid w:val="007D4BB8"/>
    <w:rsid w:val="007D618D"/>
    <w:rsid w:val="007D64C8"/>
    <w:rsid w:val="007D65B4"/>
    <w:rsid w:val="007E0AA6"/>
    <w:rsid w:val="007E1C46"/>
    <w:rsid w:val="007E33E1"/>
    <w:rsid w:val="007E3C60"/>
    <w:rsid w:val="007E5912"/>
    <w:rsid w:val="007F0052"/>
    <w:rsid w:val="007F0DD6"/>
    <w:rsid w:val="007F1352"/>
    <w:rsid w:val="007F2556"/>
    <w:rsid w:val="007F566E"/>
    <w:rsid w:val="007F6501"/>
    <w:rsid w:val="0080063F"/>
    <w:rsid w:val="0080353D"/>
    <w:rsid w:val="00803D09"/>
    <w:rsid w:val="00803D8E"/>
    <w:rsid w:val="00803DF9"/>
    <w:rsid w:val="00804004"/>
    <w:rsid w:val="00806BFA"/>
    <w:rsid w:val="00813F68"/>
    <w:rsid w:val="00814369"/>
    <w:rsid w:val="00815D47"/>
    <w:rsid w:val="008168C5"/>
    <w:rsid w:val="008238A8"/>
    <w:rsid w:val="00825436"/>
    <w:rsid w:val="0082573F"/>
    <w:rsid w:val="00826072"/>
    <w:rsid w:val="008264E7"/>
    <w:rsid w:val="00827100"/>
    <w:rsid w:val="0082746E"/>
    <w:rsid w:val="008276F7"/>
    <w:rsid w:val="00827793"/>
    <w:rsid w:val="00827B35"/>
    <w:rsid w:val="00827B63"/>
    <w:rsid w:val="00833231"/>
    <w:rsid w:val="008339FC"/>
    <w:rsid w:val="00834368"/>
    <w:rsid w:val="0083489F"/>
    <w:rsid w:val="00837ACB"/>
    <w:rsid w:val="008405A3"/>
    <w:rsid w:val="0084064A"/>
    <w:rsid w:val="0084078B"/>
    <w:rsid w:val="008407C9"/>
    <w:rsid w:val="00840A6B"/>
    <w:rsid w:val="00840DB2"/>
    <w:rsid w:val="008433B5"/>
    <w:rsid w:val="00844BB3"/>
    <w:rsid w:val="008453CB"/>
    <w:rsid w:val="008478D1"/>
    <w:rsid w:val="00851A1B"/>
    <w:rsid w:val="00851E1A"/>
    <w:rsid w:val="00853C0E"/>
    <w:rsid w:val="00861EE5"/>
    <w:rsid w:val="00862392"/>
    <w:rsid w:val="00862AB4"/>
    <w:rsid w:val="008646E4"/>
    <w:rsid w:val="00865392"/>
    <w:rsid w:val="00866DC6"/>
    <w:rsid w:val="00866DD9"/>
    <w:rsid w:val="008674B0"/>
    <w:rsid w:val="00875A28"/>
    <w:rsid w:val="00881C00"/>
    <w:rsid w:val="00884E1B"/>
    <w:rsid w:val="00885A31"/>
    <w:rsid w:val="008862F8"/>
    <w:rsid w:val="00887915"/>
    <w:rsid w:val="00887AC6"/>
    <w:rsid w:val="00891457"/>
    <w:rsid w:val="00891782"/>
    <w:rsid w:val="00892234"/>
    <w:rsid w:val="008941A6"/>
    <w:rsid w:val="00895662"/>
    <w:rsid w:val="008959E4"/>
    <w:rsid w:val="00895C6A"/>
    <w:rsid w:val="0089625D"/>
    <w:rsid w:val="008A03E3"/>
    <w:rsid w:val="008A1924"/>
    <w:rsid w:val="008A2029"/>
    <w:rsid w:val="008A22B9"/>
    <w:rsid w:val="008A333A"/>
    <w:rsid w:val="008B0A49"/>
    <w:rsid w:val="008B3F3A"/>
    <w:rsid w:val="008B6323"/>
    <w:rsid w:val="008B7E77"/>
    <w:rsid w:val="008C07FE"/>
    <w:rsid w:val="008C0BB7"/>
    <w:rsid w:val="008C0E59"/>
    <w:rsid w:val="008C1CD2"/>
    <w:rsid w:val="008C3038"/>
    <w:rsid w:val="008C3EDC"/>
    <w:rsid w:val="008C4EAD"/>
    <w:rsid w:val="008C51F5"/>
    <w:rsid w:val="008C5327"/>
    <w:rsid w:val="008C6FA3"/>
    <w:rsid w:val="008C7085"/>
    <w:rsid w:val="008D0068"/>
    <w:rsid w:val="008D0A63"/>
    <w:rsid w:val="008D1F57"/>
    <w:rsid w:val="008D2356"/>
    <w:rsid w:val="008D451B"/>
    <w:rsid w:val="008D4EF1"/>
    <w:rsid w:val="008D58A0"/>
    <w:rsid w:val="008D7244"/>
    <w:rsid w:val="008D7C7E"/>
    <w:rsid w:val="008D7FD6"/>
    <w:rsid w:val="008E21FD"/>
    <w:rsid w:val="008E2327"/>
    <w:rsid w:val="008E30EB"/>
    <w:rsid w:val="008E359C"/>
    <w:rsid w:val="008E61F2"/>
    <w:rsid w:val="008E7C05"/>
    <w:rsid w:val="008F2DD2"/>
    <w:rsid w:val="008F3CA0"/>
    <w:rsid w:val="008F3E47"/>
    <w:rsid w:val="0090294A"/>
    <w:rsid w:val="00902E71"/>
    <w:rsid w:val="00902ED4"/>
    <w:rsid w:val="00910A88"/>
    <w:rsid w:val="00911B07"/>
    <w:rsid w:val="00911BBC"/>
    <w:rsid w:val="00911D1C"/>
    <w:rsid w:val="00913CC2"/>
    <w:rsid w:val="0091493A"/>
    <w:rsid w:val="00917447"/>
    <w:rsid w:val="00920874"/>
    <w:rsid w:val="0092089A"/>
    <w:rsid w:val="009225DD"/>
    <w:rsid w:val="00923B03"/>
    <w:rsid w:val="00923F06"/>
    <w:rsid w:val="00924AB3"/>
    <w:rsid w:val="0092687E"/>
    <w:rsid w:val="009269B7"/>
    <w:rsid w:val="0093245B"/>
    <w:rsid w:val="00934DAE"/>
    <w:rsid w:val="00937F5A"/>
    <w:rsid w:val="00942BBC"/>
    <w:rsid w:val="00944825"/>
    <w:rsid w:val="00944A32"/>
    <w:rsid w:val="00944C2D"/>
    <w:rsid w:val="00944F05"/>
    <w:rsid w:val="00945606"/>
    <w:rsid w:val="00945771"/>
    <w:rsid w:val="0094680B"/>
    <w:rsid w:val="00953255"/>
    <w:rsid w:val="00956538"/>
    <w:rsid w:val="009602E3"/>
    <w:rsid w:val="00960AA6"/>
    <w:rsid w:val="00960B10"/>
    <w:rsid w:val="0096625F"/>
    <w:rsid w:val="00970338"/>
    <w:rsid w:val="00970A38"/>
    <w:rsid w:val="009724D6"/>
    <w:rsid w:val="00972654"/>
    <w:rsid w:val="00973075"/>
    <w:rsid w:val="0097600D"/>
    <w:rsid w:val="00976118"/>
    <w:rsid w:val="0097669C"/>
    <w:rsid w:val="00977259"/>
    <w:rsid w:val="00977696"/>
    <w:rsid w:val="00982ECE"/>
    <w:rsid w:val="00982EE8"/>
    <w:rsid w:val="009841DA"/>
    <w:rsid w:val="00986453"/>
    <w:rsid w:val="00991007"/>
    <w:rsid w:val="0099103C"/>
    <w:rsid w:val="00992143"/>
    <w:rsid w:val="00993A25"/>
    <w:rsid w:val="009940C3"/>
    <w:rsid w:val="00994B5B"/>
    <w:rsid w:val="00997571"/>
    <w:rsid w:val="00997C8E"/>
    <w:rsid w:val="009A0D64"/>
    <w:rsid w:val="009A2C93"/>
    <w:rsid w:val="009A463E"/>
    <w:rsid w:val="009A4CF3"/>
    <w:rsid w:val="009A50E6"/>
    <w:rsid w:val="009A6659"/>
    <w:rsid w:val="009A68CC"/>
    <w:rsid w:val="009B0106"/>
    <w:rsid w:val="009B0379"/>
    <w:rsid w:val="009B15FB"/>
    <w:rsid w:val="009B3075"/>
    <w:rsid w:val="009B3DF8"/>
    <w:rsid w:val="009B3FA8"/>
    <w:rsid w:val="009B72ED"/>
    <w:rsid w:val="009B7BD4"/>
    <w:rsid w:val="009C1602"/>
    <w:rsid w:val="009C2C8A"/>
    <w:rsid w:val="009C4DBC"/>
    <w:rsid w:val="009C5473"/>
    <w:rsid w:val="009C6A4D"/>
    <w:rsid w:val="009D0147"/>
    <w:rsid w:val="009D015E"/>
    <w:rsid w:val="009D0C4D"/>
    <w:rsid w:val="009E0435"/>
    <w:rsid w:val="009E09BA"/>
    <w:rsid w:val="009E1152"/>
    <w:rsid w:val="009E140C"/>
    <w:rsid w:val="009E1447"/>
    <w:rsid w:val="009E2D35"/>
    <w:rsid w:val="009F01F5"/>
    <w:rsid w:val="009F0EF1"/>
    <w:rsid w:val="009F641C"/>
    <w:rsid w:val="009F6529"/>
    <w:rsid w:val="00A00FCD"/>
    <w:rsid w:val="00A01369"/>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EC"/>
    <w:rsid w:val="00A3537A"/>
    <w:rsid w:val="00A3653D"/>
    <w:rsid w:val="00A36A69"/>
    <w:rsid w:val="00A401D1"/>
    <w:rsid w:val="00A42463"/>
    <w:rsid w:val="00A428C2"/>
    <w:rsid w:val="00A42DDD"/>
    <w:rsid w:val="00A43E54"/>
    <w:rsid w:val="00A5213F"/>
    <w:rsid w:val="00A556E8"/>
    <w:rsid w:val="00A5608B"/>
    <w:rsid w:val="00A56E9F"/>
    <w:rsid w:val="00A5757D"/>
    <w:rsid w:val="00A606EF"/>
    <w:rsid w:val="00A60DB3"/>
    <w:rsid w:val="00A6175C"/>
    <w:rsid w:val="00A627B1"/>
    <w:rsid w:val="00A6289F"/>
    <w:rsid w:val="00A660C1"/>
    <w:rsid w:val="00A70EC0"/>
    <w:rsid w:val="00A729E8"/>
    <w:rsid w:val="00A72A23"/>
    <w:rsid w:val="00A7306D"/>
    <w:rsid w:val="00A738FF"/>
    <w:rsid w:val="00A764F2"/>
    <w:rsid w:val="00A770CF"/>
    <w:rsid w:val="00A77928"/>
    <w:rsid w:val="00A77951"/>
    <w:rsid w:val="00A77AB4"/>
    <w:rsid w:val="00A77BA2"/>
    <w:rsid w:val="00A77DDC"/>
    <w:rsid w:val="00A80E9D"/>
    <w:rsid w:val="00A8363B"/>
    <w:rsid w:val="00A86856"/>
    <w:rsid w:val="00A87DA0"/>
    <w:rsid w:val="00A90697"/>
    <w:rsid w:val="00A92DBC"/>
    <w:rsid w:val="00A941BC"/>
    <w:rsid w:val="00A96AF3"/>
    <w:rsid w:val="00A96F00"/>
    <w:rsid w:val="00A97F76"/>
    <w:rsid w:val="00AA09AC"/>
    <w:rsid w:val="00AA253E"/>
    <w:rsid w:val="00AA7679"/>
    <w:rsid w:val="00AA7D22"/>
    <w:rsid w:val="00AB0BE9"/>
    <w:rsid w:val="00AB0EDC"/>
    <w:rsid w:val="00AB1F9A"/>
    <w:rsid w:val="00AB32E7"/>
    <w:rsid w:val="00AB44C8"/>
    <w:rsid w:val="00AB5AEB"/>
    <w:rsid w:val="00AB68AE"/>
    <w:rsid w:val="00AB6A9E"/>
    <w:rsid w:val="00AB74A5"/>
    <w:rsid w:val="00AC0C59"/>
    <w:rsid w:val="00AC0CFE"/>
    <w:rsid w:val="00AC1823"/>
    <w:rsid w:val="00AC2A46"/>
    <w:rsid w:val="00AC49E3"/>
    <w:rsid w:val="00AC512D"/>
    <w:rsid w:val="00AC6FFF"/>
    <w:rsid w:val="00AD02FD"/>
    <w:rsid w:val="00AD0E39"/>
    <w:rsid w:val="00AD2257"/>
    <w:rsid w:val="00AD28D2"/>
    <w:rsid w:val="00AD2F56"/>
    <w:rsid w:val="00AD41B6"/>
    <w:rsid w:val="00AD7023"/>
    <w:rsid w:val="00AE2988"/>
    <w:rsid w:val="00AE2E60"/>
    <w:rsid w:val="00AE2E84"/>
    <w:rsid w:val="00AF0FA4"/>
    <w:rsid w:val="00AF1FFD"/>
    <w:rsid w:val="00AF6E69"/>
    <w:rsid w:val="00AF6EB2"/>
    <w:rsid w:val="00AF7885"/>
    <w:rsid w:val="00B0080D"/>
    <w:rsid w:val="00B01215"/>
    <w:rsid w:val="00B04701"/>
    <w:rsid w:val="00B049F2"/>
    <w:rsid w:val="00B05207"/>
    <w:rsid w:val="00B0526E"/>
    <w:rsid w:val="00B0719E"/>
    <w:rsid w:val="00B1073C"/>
    <w:rsid w:val="00B113A1"/>
    <w:rsid w:val="00B119C1"/>
    <w:rsid w:val="00B16527"/>
    <w:rsid w:val="00B22702"/>
    <w:rsid w:val="00B25195"/>
    <w:rsid w:val="00B26F12"/>
    <w:rsid w:val="00B32F7C"/>
    <w:rsid w:val="00B330AB"/>
    <w:rsid w:val="00B40127"/>
    <w:rsid w:val="00B41BA8"/>
    <w:rsid w:val="00B42554"/>
    <w:rsid w:val="00B45A65"/>
    <w:rsid w:val="00B46C27"/>
    <w:rsid w:val="00B4787F"/>
    <w:rsid w:val="00B52E66"/>
    <w:rsid w:val="00B53AB6"/>
    <w:rsid w:val="00B5404C"/>
    <w:rsid w:val="00B55CDD"/>
    <w:rsid w:val="00B56990"/>
    <w:rsid w:val="00B5754E"/>
    <w:rsid w:val="00B6057E"/>
    <w:rsid w:val="00B61A59"/>
    <w:rsid w:val="00B62B80"/>
    <w:rsid w:val="00B62F5B"/>
    <w:rsid w:val="00B71A68"/>
    <w:rsid w:val="00B730CD"/>
    <w:rsid w:val="00B74497"/>
    <w:rsid w:val="00B74C3E"/>
    <w:rsid w:val="00B7688C"/>
    <w:rsid w:val="00B80746"/>
    <w:rsid w:val="00B80C59"/>
    <w:rsid w:val="00B81A17"/>
    <w:rsid w:val="00B81D82"/>
    <w:rsid w:val="00B84FE5"/>
    <w:rsid w:val="00B87CC7"/>
    <w:rsid w:val="00B925A5"/>
    <w:rsid w:val="00B953E8"/>
    <w:rsid w:val="00B95DA6"/>
    <w:rsid w:val="00B963FA"/>
    <w:rsid w:val="00B9760F"/>
    <w:rsid w:val="00B976B0"/>
    <w:rsid w:val="00BA3064"/>
    <w:rsid w:val="00BA5750"/>
    <w:rsid w:val="00BA64F6"/>
    <w:rsid w:val="00BA65B3"/>
    <w:rsid w:val="00BA6A17"/>
    <w:rsid w:val="00BB11B5"/>
    <w:rsid w:val="00BB17BF"/>
    <w:rsid w:val="00BB6054"/>
    <w:rsid w:val="00BC3ECE"/>
    <w:rsid w:val="00BC4B16"/>
    <w:rsid w:val="00BC4F66"/>
    <w:rsid w:val="00BC70EF"/>
    <w:rsid w:val="00BC7AA5"/>
    <w:rsid w:val="00BD0251"/>
    <w:rsid w:val="00BD09CD"/>
    <w:rsid w:val="00BD41E3"/>
    <w:rsid w:val="00BD4449"/>
    <w:rsid w:val="00BD54FB"/>
    <w:rsid w:val="00BE3467"/>
    <w:rsid w:val="00BE61B6"/>
    <w:rsid w:val="00BE735D"/>
    <w:rsid w:val="00BF06CE"/>
    <w:rsid w:val="00BF1B39"/>
    <w:rsid w:val="00BF4716"/>
    <w:rsid w:val="00BF5F8A"/>
    <w:rsid w:val="00BF7054"/>
    <w:rsid w:val="00BF7CA8"/>
    <w:rsid w:val="00C00E8A"/>
    <w:rsid w:val="00C00EF3"/>
    <w:rsid w:val="00C01750"/>
    <w:rsid w:val="00C036D5"/>
    <w:rsid w:val="00C03E0B"/>
    <w:rsid w:val="00C04E22"/>
    <w:rsid w:val="00C0588F"/>
    <w:rsid w:val="00C06B15"/>
    <w:rsid w:val="00C075E8"/>
    <w:rsid w:val="00C07DE2"/>
    <w:rsid w:val="00C1030A"/>
    <w:rsid w:val="00C11BD0"/>
    <w:rsid w:val="00C14ABE"/>
    <w:rsid w:val="00C15271"/>
    <w:rsid w:val="00C15838"/>
    <w:rsid w:val="00C16168"/>
    <w:rsid w:val="00C17388"/>
    <w:rsid w:val="00C2149E"/>
    <w:rsid w:val="00C21DB7"/>
    <w:rsid w:val="00C260D5"/>
    <w:rsid w:val="00C274BD"/>
    <w:rsid w:val="00C27509"/>
    <w:rsid w:val="00C279FC"/>
    <w:rsid w:val="00C27BF7"/>
    <w:rsid w:val="00C30A52"/>
    <w:rsid w:val="00C31325"/>
    <w:rsid w:val="00C31890"/>
    <w:rsid w:val="00C322C0"/>
    <w:rsid w:val="00C33746"/>
    <w:rsid w:val="00C3748D"/>
    <w:rsid w:val="00C37526"/>
    <w:rsid w:val="00C40226"/>
    <w:rsid w:val="00C40EA6"/>
    <w:rsid w:val="00C41ADD"/>
    <w:rsid w:val="00C41F2E"/>
    <w:rsid w:val="00C43A9C"/>
    <w:rsid w:val="00C44672"/>
    <w:rsid w:val="00C46D46"/>
    <w:rsid w:val="00C46DCE"/>
    <w:rsid w:val="00C5148B"/>
    <w:rsid w:val="00C5189E"/>
    <w:rsid w:val="00C51C93"/>
    <w:rsid w:val="00C520A7"/>
    <w:rsid w:val="00C54557"/>
    <w:rsid w:val="00C54C5F"/>
    <w:rsid w:val="00C551C0"/>
    <w:rsid w:val="00C559FF"/>
    <w:rsid w:val="00C57B84"/>
    <w:rsid w:val="00C611FB"/>
    <w:rsid w:val="00C6361B"/>
    <w:rsid w:val="00C6551F"/>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64FD"/>
    <w:rsid w:val="00C8740F"/>
    <w:rsid w:val="00C87CC4"/>
    <w:rsid w:val="00C907F3"/>
    <w:rsid w:val="00C90C7B"/>
    <w:rsid w:val="00C91925"/>
    <w:rsid w:val="00C93009"/>
    <w:rsid w:val="00C93A9F"/>
    <w:rsid w:val="00CA03A8"/>
    <w:rsid w:val="00CA08BD"/>
    <w:rsid w:val="00CA240C"/>
    <w:rsid w:val="00CA5304"/>
    <w:rsid w:val="00CA56A2"/>
    <w:rsid w:val="00CA5C4C"/>
    <w:rsid w:val="00CB21D1"/>
    <w:rsid w:val="00CB3AA7"/>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BE"/>
    <w:rsid w:val="00CE21C0"/>
    <w:rsid w:val="00CE31FA"/>
    <w:rsid w:val="00CE45DB"/>
    <w:rsid w:val="00CE5D1E"/>
    <w:rsid w:val="00CE7BDA"/>
    <w:rsid w:val="00CF0D1D"/>
    <w:rsid w:val="00CF154B"/>
    <w:rsid w:val="00CF18FB"/>
    <w:rsid w:val="00CF1C1A"/>
    <w:rsid w:val="00CF1D7F"/>
    <w:rsid w:val="00CF73E0"/>
    <w:rsid w:val="00CF7DFF"/>
    <w:rsid w:val="00D02171"/>
    <w:rsid w:val="00D10084"/>
    <w:rsid w:val="00D10B67"/>
    <w:rsid w:val="00D125BE"/>
    <w:rsid w:val="00D129B1"/>
    <w:rsid w:val="00D133AE"/>
    <w:rsid w:val="00D151C6"/>
    <w:rsid w:val="00D16DA0"/>
    <w:rsid w:val="00D17A44"/>
    <w:rsid w:val="00D20B2A"/>
    <w:rsid w:val="00D20FDF"/>
    <w:rsid w:val="00D21C3A"/>
    <w:rsid w:val="00D21F48"/>
    <w:rsid w:val="00D22ED5"/>
    <w:rsid w:val="00D25AA9"/>
    <w:rsid w:val="00D27099"/>
    <w:rsid w:val="00D30D59"/>
    <w:rsid w:val="00D315A7"/>
    <w:rsid w:val="00D323D4"/>
    <w:rsid w:val="00D3375E"/>
    <w:rsid w:val="00D3436A"/>
    <w:rsid w:val="00D354A3"/>
    <w:rsid w:val="00D36380"/>
    <w:rsid w:val="00D40B16"/>
    <w:rsid w:val="00D45264"/>
    <w:rsid w:val="00D4681B"/>
    <w:rsid w:val="00D54531"/>
    <w:rsid w:val="00D5453A"/>
    <w:rsid w:val="00D555DA"/>
    <w:rsid w:val="00D56F98"/>
    <w:rsid w:val="00D57381"/>
    <w:rsid w:val="00D618A3"/>
    <w:rsid w:val="00D623EE"/>
    <w:rsid w:val="00D630E2"/>
    <w:rsid w:val="00D634A6"/>
    <w:rsid w:val="00D63795"/>
    <w:rsid w:val="00D63ABE"/>
    <w:rsid w:val="00D657C7"/>
    <w:rsid w:val="00D678A5"/>
    <w:rsid w:val="00D712B3"/>
    <w:rsid w:val="00D71CA8"/>
    <w:rsid w:val="00D74F26"/>
    <w:rsid w:val="00D75175"/>
    <w:rsid w:val="00D77755"/>
    <w:rsid w:val="00D84B81"/>
    <w:rsid w:val="00D858E1"/>
    <w:rsid w:val="00D85B98"/>
    <w:rsid w:val="00D860E9"/>
    <w:rsid w:val="00D91721"/>
    <w:rsid w:val="00D93403"/>
    <w:rsid w:val="00D94097"/>
    <w:rsid w:val="00D94483"/>
    <w:rsid w:val="00D94856"/>
    <w:rsid w:val="00D94EC1"/>
    <w:rsid w:val="00D97461"/>
    <w:rsid w:val="00DA0397"/>
    <w:rsid w:val="00DA1217"/>
    <w:rsid w:val="00DA1BF0"/>
    <w:rsid w:val="00DA1FE1"/>
    <w:rsid w:val="00DA2512"/>
    <w:rsid w:val="00DA5291"/>
    <w:rsid w:val="00DA7883"/>
    <w:rsid w:val="00DA7A7D"/>
    <w:rsid w:val="00DB17CC"/>
    <w:rsid w:val="00DB39C3"/>
    <w:rsid w:val="00DB6DC3"/>
    <w:rsid w:val="00DB7937"/>
    <w:rsid w:val="00DB7FBA"/>
    <w:rsid w:val="00DC0ED6"/>
    <w:rsid w:val="00DC10F9"/>
    <w:rsid w:val="00DC3769"/>
    <w:rsid w:val="00DC4848"/>
    <w:rsid w:val="00DC539A"/>
    <w:rsid w:val="00DD0D89"/>
    <w:rsid w:val="00DD37C2"/>
    <w:rsid w:val="00DD37E9"/>
    <w:rsid w:val="00DD5296"/>
    <w:rsid w:val="00DD5A0B"/>
    <w:rsid w:val="00DD63D1"/>
    <w:rsid w:val="00DE1587"/>
    <w:rsid w:val="00DE33EB"/>
    <w:rsid w:val="00DE4275"/>
    <w:rsid w:val="00DE4375"/>
    <w:rsid w:val="00DE4BC0"/>
    <w:rsid w:val="00DE5AF8"/>
    <w:rsid w:val="00DE6E5C"/>
    <w:rsid w:val="00DE7616"/>
    <w:rsid w:val="00DF3F84"/>
    <w:rsid w:val="00DF5370"/>
    <w:rsid w:val="00E03921"/>
    <w:rsid w:val="00E05DC8"/>
    <w:rsid w:val="00E079EF"/>
    <w:rsid w:val="00E11244"/>
    <w:rsid w:val="00E11735"/>
    <w:rsid w:val="00E11792"/>
    <w:rsid w:val="00E12FA9"/>
    <w:rsid w:val="00E13649"/>
    <w:rsid w:val="00E141ED"/>
    <w:rsid w:val="00E168CF"/>
    <w:rsid w:val="00E16CAE"/>
    <w:rsid w:val="00E1782C"/>
    <w:rsid w:val="00E17C84"/>
    <w:rsid w:val="00E225CB"/>
    <w:rsid w:val="00E2678B"/>
    <w:rsid w:val="00E2729E"/>
    <w:rsid w:val="00E30310"/>
    <w:rsid w:val="00E337CD"/>
    <w:rsid w:val="00E33F88"/>
    <w:rsid w:val="00E37272"/>
    <w:rsid w:val="00E41FEF"/>
    <w:rsid w:val="00E43446"/>
    <w:rsid w:val="00E449FB"/>
    <w:rsid w:val="00E451E0"/>
    <w:rsid w:val="00E4606F"/>
    <w:rsid w:val="00E46209"/>
    <w:rsid w:val="00E50574"/>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1077"/>
    <w:rsid w:val="00E82709"/>
    <w:rsid w:val="00E8413C"/>
    <w:rsid w:val="00E85371"/>
    <w:rsid w:val="00E85F38"/>
    <w:rsid w:val="00E8675A"/>
    <w:rsid w:val="00E8788F"/>
    <w:rsid w:val="00E90588"/>
    <w:rsid w:val="00E90DF1"/>
    <w:rsid w:val="00E9288E"/>
    <w:rsid w:val="00E93AC0"/>
    <w:rsid w:val="00E94082"/>
    <w:rsid w:val="00E9528A"/>
    <w:rsid w:val="00EA172B"/>
    <w:rsid w:val="00EA342A"/>
    <w:rsid w:val="00EA34A2"/>
    <w:rsid w:val="00EA3876"/>
    <w:rsid w:val="00EA406E"/>
    <w:rsid w:val="00EA52D3"/>
    <w:rsid w:val="00EA589F"/>
    <w:rsid w:val="00EA5F49"/>
    <w:rsid w:val="00EA6447"/>
    <w:rsid w:val="00EA6FC2"/>
    <w:rsid w:val="00EB0B3E"/>
    <w:rsid w:val="00EB193C"/>
    <w:rsid w:val="00EB2329"/>
    <w:rsid w:val="00EB2961"/>
    <w:rsid w:val="00EB2FEB"/>
    <w:rsid w:val="00EB3E52"/>
    <w:rsid w:val="00EB41D8"/>
    <w:rsid w:val="00EB4E03"/>
    <w:rsid w:val="00EB5B18"/>
    <w:rsid w:val="00EB739F"/>
    <w:rsid w:val="00EC00A1"/>
    <w:rsid w:val="00EC4CC5"/>
    <w:rsid w:val="00EC6C11"/>
    <w:rsid w:val="00EC7C52"/>
    <w:rsid w:val="00ED11D7"/>
    <w:rsid w:val="00ED32F9"/>
    <w:rsid w:val="00ED3727"/>
    <w:rsid w:val="00ED39B9"/>
    <w:rsid w:val="00ED3FF4"/>
    <w:rsid w:val="00ED43FE"/>
    <w:rsid w:val="00ED5570"/>
    <w:rsid w:val="00ED5989"/>
    <w:rsid w:val="00EE2B80"/>
    <w:rsid w:val="00EE488F"/>
    <w:rsid w:val="00EE550A"/>
    <w:rsid w:val="00EE5AC4"/>
    <w:rsid w:val="00EE7EC4"/>
    <w:rsid w:val="00EF0694"/>
    <w:rsid w:val="00EF2E2C"/>
    <w:rsid w:val="00EF3B0F"/>
    <w:rsid w:val="00EF5820"/>
    <w:rsid w:val="00EF6FDE"/>
    <w:rsid w:val="00EF740D"/>
    <w:rsid w:val="00F0508A"/>
    <w:rsid w:val="00F05C5D"/>
    <w:rsid w:val="00F076D4"/>
    <w:rsid w:val="00F0798D"/>
    <w:rsid w:val="00F07B60"/>
    <w:rsid w:val="00F11C4B"/>
    <w:rsid w:val="00F11E4A"/>
    <w:rsid w:val="00F11E91"/>
    <w:rsid w:val="00F12F31"/>
    <w:rsid w:val="00F1307A"/>
    <w:rsid w:val="00F13C9C"/>
    <w:rsid w:val="00F14239"/>
    <w:rsid w:val="00F15A93"/>
    <w:rsid w:val="00F1646C"/>
    <w:rsid w:val="00F206C2"/>
    <w:rsid w:val="00F211B3"/>
    <w:rsid w:val="00F219FE"/>
    <w:rsid w:val="00F22375"/>
    <w:rsid w:val="00F2508D"/>
    <w:rsid w:val="00F25F7C"/>
    <w:rsid w:val="00F26E1E"/>
    <w:rsid w:val="00F30582"/>
    <w:rsid w:val="00F33A2B"/>
    <w:rsid w:val="00F36571"/>
    <w:rsid w:val="00F36A49"/>
    <w:rsid w:val="00F40189"/>
    <w:rsid w:val="00F41185"/>
    <w:rsid w:val="00F4285B"/>
    <w:rsid w:val="00F43FF0"/>
    <w:rsid w:val="00F44351"/>
    <w:rsid w:val="00F45F59"/>
    <w:rsid w:val="00F46CEE"/>
    <w:rsid w:val="00F4755B"/>
    <w:rsid w:val="00F548D7"/>
    <w:rsid w:val="00F55264"/>
    <w:rsid w:val="00F55F09"/>
    <w:rsid w:val="00F57902"/>
    <w:rsid w:val="00F605CE"/>
    <w:rsid w:val="00F60DBA"/>
    <w:rsid w:val="00F61551"/>
    <w:rsid w:val="00F62916"/>
    <w:rsid w:val="00F63376"/>
    <w:rsid w:val="00F63D9A"/>
    <w:rsid w:val="00F64A71"/>
    <w:rsid w:val="00F706F3"/>
    <w:rsid w:val="00F71BE2"/>
    <w:rsid w:val="00F72229"/>
    <w:rsid w:val="00F7363F"/>
    <w:rsid w:val="00F75527"/>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4119"/>
    <w:rsid w:val="00FB6CC7"/>
    <w:rsid w:val="00FB743C"/>
    <w:rsid w:val="00FC1476"/>
    <w:rsid w:val="00FC1F16"/>
    <w:rsid w:val="00FC3653"/>
    <w:rsid w:val="00FC3B89"/>
    <w:rsid w:val="00FC4326"/>
    <w:rsid w:val="00FC7F0B"/>
    <w:rsid w:val="00FD26AE"/>
    <w:rsid w:val="00FD2829"/>
    <w:rsid w:val="00FD3045"/>
    <w:rsid w:val="00FD307B"/>
    <w:rsid w:val="00FD3A5B"/>
    <w:rsid w:val="00FD4F2C"/>
    <w:rsid w:val="00FD6469"/>
    <w:rsid w:val="00FE0646"/>
    <w:rsid w:val="00FE0ADB"/>
    <w:rsid w:val="00FE3E82"/>
    <w:rsid w:val="00FE53CE"/>
    <w:rsid w:val="00FE6402"/>
    <w:rsid w:val="00FE653F"/>
    <w:rsid w:val="00FE68E4"/>
    <w:rsid w:val="00FE6B66"/>
    <w:rsid w:val="00FE7BAB"/>
    <w:rsid w:val="00FF0129"/>
    <w:rsid w:val="00FF0ECF"/>
    <w:rsid w:val="00FF34A3"/>
    <w:rsid w:val="00FF56A9"/>
    <w:rsid w:val="00FF5C63"/>
    <w:rsid w:val="00FF5D8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8D7C38C"/>
  <w15:chartTrackingRefBased/>
  <w15:docId w15:val="{3F5190B9-47AC-46DC-B18C-0DFE3060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 w:type="character" w:styleId="UnresolvedMention">
    <w:name w:val="Unresolved Mention"/>
    <w:uiPriority w:val="99"/>
    <w:semiHidden/>
    <w:unhideWhenUsed/>
    <w:rsid w:val="0090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Props1.xml><?xml version="1.0" encoding="utf-8"?>
<ds:datastoreItem xmlns:ds="http://schemas.openxmlformats.org/officeDocument/2006/customXml" ds:itemID="{8DBD2A12-F318-46F8-9BFC-7D0B6126DC24}">
  <ds:schemaRefs>
    <ds:schemaRef ds:uri="http://schemas.openxmlformats.org/officeDocument/2006/bibliography"/>
  </ds:schemaRefs>
</ds:datastoreItem>
</file>

<file path=customXml/itemProps2.xml><?xml version="1.0" encoding="utf-8"?>
<ds:datastoreItem xmlns:ds="http://schemas.openxmlformats.org/officeDocument/2006/customXml" ds:itemID="{333796C5-98EE-4580-9AFE-74BDAB8CDABB}"/>
</file>

<file path=customXml/itemProps3.xml><?xml version="1.0" encoding="utf-8"?>
<ds:datastoreItem xmlns:ds="http://schemas.openxmlformats.org/officeDocument/2006/customXml" ds:itemID="{D8DCD1D6-C404-4139-AD11-5A1A8F45D2DF}">
  <ds:schemaRefs>
    <ds:schemaRef ds:uri="http://schemas.microsoft.com/sharepoint/v3/contenttype/forms"/>
  </ds:schemaRefs>
</ds:datastoreItem>
</file>

<file path=customXml/itemProps4.xml><?xml version="1.0" encoding="utf-8"?>
<ds:datastoreItem xmlns:ds="http://schemas.openxmlformats.org/officeDocument/2006/customXml" ds:itemID="{60ACB5ED-C4DF-40D7-BB60-648CBF2A9CF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9C9CC6B-3B85-484C-878B-0A3B78B77DEE}">
  <ds:schemaRefs>
    <ds:schemaRef ds:uri="http://purl.org/dc/terms/"/>
    <ds:schemaRef ds:uri="http://schemas.openxmlformats.org/package/2006/metadata/core-properties"/>
    <ds:schemaRef ds:uri="http://schemas.microsoft.com/office/2006/documentManagement/types"/>
    <ds:schemaRef ds:uri="d825e536-7637-490e-ba97-afee1efa6b76"/>
    <ds:schemaRef ds:uri="http://purl.org/dc/elements/1.1/"/>
    <ds:schemaRef ds:uri="http://schemas.microsoft.com/office/2006/metadata/properties"/>
    <ds:schemaRef ds:uri="http://schemas.microsoft.com/office/infopath/2007/PartnerControls"/>
    <ds:schemaRef ds:uri="27881762-7f79-44fb-88a0-e9d753a669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5</Pages>
  <Words>2714</Words>
  <Characters>12922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Richards, Clive</cp:lastModifiedBy>
  <cp:revision>3</cp:revision>
  <cp:lastPrinted>2024-01-04T14:37:00Z</cp:lastPrinted>
  <dcterms:created xsi:type="dcterms:W3CDTF">2024-01-04T14:37:00Z</dcterms:created>
  <dcterms:modified xsi:type="dcterms:W3CDTF">2024-01-04T14:38:00Z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