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51B0" w14:textId="77777777" w:rsidR="00752472" w:rsidRDefault="00000000">
      <w:pPr>
        <w:pStyle w:val="Heading1"/>
        <w:rPr>
          <w:rFonts w:ascii="Arial" w:hAnsi="Arial" w:cs="Arial"/>
          <w:b/>
          <w:color w:val="000000"/>
        </w:rPr>
      </w:pPr>
      <w:bookmarkStart w:id="0" w:name="_Hlk154066625"/>
      <w:r>
        <w:rPr>
          <w:rFonts w:ascii="Arial" w:hAnsi="Arial" w:cs="Arial"/>
          <w:b/>
          <w:color w:val="000000"/>
        </w:rPr>
        <w:t>Section 5:</w:t>
      </w:r>
      <w:r>
        <w:rPr>
          <w:rFonts w:ascii="Arial" w:hAnsi="Arial" w:cs="Arial"/>
          <w:b/>
          <w:color w:val="000000"/>
        </w:rPr>
        <w:tab/>
        <w:t>Response form</w:t>
      </w:r>
    </w:p>
    <w:p w14:paraId="186C8330" w14:textId="77777777" w:rsidR="00752472" w:rsidRDefault="00752472">
      <w:pPr>
        <w:rPr>
          <w:rFonts w:ascii="Arial" w:hAnsi="Arial"/>
          <w:color w:val="000000"/>
        </w:rPr>
      </w:pPr>
    </w:p>
    <w:tbl>
      <w:tblPr>
        <w:tblW w:w="9158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039"/>
      </w:tblGrid>
      <w:tr w:rsidR="00752472" w14:paraId="5E04252C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8F66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What is your name?</w:t>
            </w:r>
            <w:r>
              <w:rPr>
                <w:rFonts w:ascii="Arial" w:hAnsi="Arial"/>
                <w:color w:val="000000"/>
              </w:rPr>
              <w:tab/>
            </w:r>
            <w:r>
              <w:rPr>
                <w:rFonts w:ascii="Arial" w:hAnsi="Arial"/>
                <w:color w:val="000000"/>
              </w:rPr>
              <w:tab/>
            </w:r>
          </w:p>
        </w:tc>
        <w:tc>
          <w:tcPr>
            <w:tcW w:w="60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6F00D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52472" w14:paraId="6207BA75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EBF7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  <w:p w14:paraId="50F33A8C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What is your email address?</w:t>
            </w:r>
          </w:p>
        </w:tc>
        <w:tc>
          <w:tcPr>
            <w:tcW w:w="6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9E235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52472" w14:paraId="09744E69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04FA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  <w:p w14:paraId="6C90C8EE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What is your job title?</w:t>
            </w:r>
          </w:p>
        </w:tc>
        <w:tc>
          <w:tcPr>
            <w:tcW w:w="6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7931B3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</w:tbl>
    <w:p w14:paraId="4DF0D654" w14:textId="77777777" w:rsidR="00752472" w:rsidRDefault="00752472">
      <w:pPr>
        <w:rPr>
          <w:rFonts w:ascii="Arial" w:hAnsi="Arial"/>
          <w:color w:val="000000"/>
        </w:rPr>
      </w:pPr>
    </w:p>
    <w:tbl>
      <w:tblPr>
        <w:tblW w:w="916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2665"/>
        <w:gridCol w:w="2410"/>
        <w:gridCol w:w="3636"/>
      </w:tblGrid>
      <w:tr w:rsidR="00752472" w14:paraId="65BD5754" w14:textId="77777777">
        <w:tblPrEx>
          <w:tblCellMar>
            <w:top w:w="0" w:type="dxa"/>
            <w:bottom w:w="0" w:type="dxa"/>
          </w:tblCellMar>
        </w:tblPrEx>
        <w:tc>
          <w:tcPr>
            <w:tcW w:w="916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3998" w14:textId="77777777" w:rsidR="00752472" w:rsidRDefault="00000000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When responding please state whether you are responding as an individual or representing the views of an organisation:</w:t>
            </w:r>
          </w:p>
        </w:tc>
      </w:tr>
      <w:tr w:rsidR="00752472" w14:paraId="52E439CB" w14:textId="77777777">
        <w:tblPrEx>
          <w:tblCellMar>
            <w:top w:w="0" w:type="dxa"/>
            <w:bottom w:w="0" w:type="dxa"/>
          </w:tblCellMar>
        </w:tblPrEx>
        <w:tc>
          <w:tcPr>
            <w:tcW w:w="916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2CED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52472" w14:paraId="47686269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F558" w14:textId="77777777" w:rsidR="00752472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50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E737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 am responding as an individual</w:t>
            </w:r>
          </w:p>
        </w:tc>
        <w:tc>
          <w:tcPr>
            <w:tcW w:w="3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164D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52472" w14:paraId="42ED9476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3934" w14:textId="77777777" w:rsidR="00752472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50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384F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 am responding on behalf of an organisation</w:t>
            </w:r>
          </w:p>
        </w:tc>
        <w:tc>
          <w:tcPr>
            <w:tcW w:w="3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2649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52472" w14:paraId="04F7FB1F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59D2" w14:textId="77777777" w:rsidR="00752472" w:rsidRDefault="00752472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96CB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</w:t>
            </w:r>
          </w:p>
          <w:p w14:paraId="7C2CCADA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(name of organisation)</w:t>
            </w:r>
          </w:p>
        </w:tc>
        <w:tc>
          <w:tcPr>
            <w:tcW w:w="6046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EF69E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</w:tbl>
    <w:p w14:paraId="38698112" w14:textId="77777777" w:rsidR="00752472" w:rsidRDefault="00752472">
      <w:pPr>
        <w:rPr>
          <w:rFonts w:ascii="Arial" w:hAnsi="Arial"/>
          <w:color w:val="000000"/>
        </w:rPr>
      </w:pPr>
    </w:p>
    <w:p w14:paraId="42895AD8" w14:textId="77777777" w:rsidR="00752472" w:rsidRDefault="00000000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Please check the box that best describes you as a respondent and the size of your organisation:</w:t>
      </w:r>
    </w:p>
    <w:tbl>
      <w:tblPr>
        <w:tblW w:w="916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2111"/>
        <w:gridCol w:w="2111"/>
        <w:gridCol w:w="436"/>
        <w:gridCol w:w="3956"/>
        <w:gridCol w:w="93"/>
      </w:tblGrid>
      <w:tr w:rsidR="00752472" w14:paraId="644E4B28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D900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Respondent Type</w:t>
            </w:r>
          </w:p>
        </w:tc>
        <w:tc>
          <w:tcPr>
            <w:tcW w:w="44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A83E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Size of Organisation</w:t>
            </w:r>
          </w:p>
        </w:tc>
      </w:tr>
      <w:tr w:rsidR="00752472" w14:paraId="4EEEF29F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2875" w14:textId="77777777" w:rsidR="00752472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2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CBB3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Classification Society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5888" w14:textId="77777777" w:rsidR="00752472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56B0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Large business (over 250 staff)</w:t>
            </w:r>
          </w:p>
        </w:tc>
        <w:tc>
          <w:tcPr>
            <w:tcW w:w="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46C64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52472" w14:paraId="36155334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A3BD" w14:textId="77777777" w:rsidR="00752472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2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6BAA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Government Agency/Department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4913" w14:textId="77777777" w:rsidR="00752472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F4275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Medium business (50 to 250 staff)</w:t>
            </w:r>
          </w:p>
        </w:tc>
      </w:tr>
      <w:tr w:rsidR="00752472" w14:paraId="284D99C8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5BD6B" w14:textId="77777777" w:rsidR="00752472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2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8F4F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Individual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690A8" w14:textId="77777777" w:rsidR="00752472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5765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Small business (10 to 49 staff)</w:t>
            </w:r>
          </w:p>
        </w:tc>
      </w:tr>
      <w:tr w:rsidR="00752472" w14:paraId="2AE4F51B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4A33" w14:textId="77777777" w:rsidR="00752472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2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575F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Legal representative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D756" w14:textId="77777777" w:rsidR="00752472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F9CC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Micro business (up to 9 staff) </w:t>
            </w:r>
          </w:p>
        </w:tc>
      </w:tr>
      <w:tr w:rsidR="00752472" w14:paraId="5413D7AC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D929" w14:textId="77777777" w:rsidR="00752472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2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D741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Protection &amp; Indemnity 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BEE4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086C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52472" w14:paraId="275B7E50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C36B" w14:textId="77777777" w:rsidR="00752472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2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A2DB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Fisher / Seafarer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943C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921E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52472" w14:paraId="791D02B2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8ED0" w14:textId="77777777" w:rsidR="00752472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2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8B3E8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Ship Operator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A85F3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9DBB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52472" w14:paraId="18C87183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58ED" w14:textId="77777777" w:rsidR="00752472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2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7C73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Ship Owner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2763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D21D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52472" w14:paraId="71A1B471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7734C" w14:textId="77777777" w:rsidR="00752472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2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1A1B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Trade Union 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3C14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7C93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52472" w14:paraId="15C0438D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5739" w14:textId="77777777" w:rsidR="00752472" w:rsidRDefault="00000000">
            <w:pPr>
              <w:spacing w:after="0" w:line="240" w:lineRule="auto"/>
            </w:pPr>
            <w:r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2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1AF8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Other</w:t>
            </w:r>
          </w:p>
        </w:tc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8033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F1C7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52472" w14:paraId="37D491D2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2D0D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015E" w14:textId="77777777" w:rsidR="00752472" w:rsidRDefault="00000000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(please describe)</w:t>
            </w:r>
          </w:p>
        </w:tc>
        <w:tc>
          <w:tcPr>
            <w:tcW w:w="6596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7572" w14:textId="77777777" w:rsidR="00752472" w:rsidRDefault="00752472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</w:tbl>
    <w:p w14:paraId="70EB0558" w14:textId="77777777" w:rsidR="00752472" w:rsidRDefault="00752472">
      <w:pPr>
        <w:rPr>
          <w:rFonts w:ascii="Arial" w:hAnsi="Arial"/>
          <w:color w:val="000000"/>
        </w:rPr>
      </w:pPr>
    </w:p>
    <w:p w14:paraId="0338FBEE" w14:textId="77777777" w:rsidR="00752472" w:rsidRDefault="00752472">
      <w:pPr>
        <w:rPr>
          <w:rFonts w:ascii="Arial" w:hAnsi="Arial"/>
          <w:b/>
          <w:bCs/>
          <w:color w:val="000000"/>
        </w:rPr>
      </w:pPr>
    </w:p>
    <w:p w14:paraId="3C258FC9" w14:textId="77777777" w:rsidR="00752472" w:rsidRDefault="00000000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If you are a Fisher what is the registered length of the vessel you work on: </w:t>
      </w:r>
    </w:p>
    <w:p w14:paraId="0809DFF3" w14:textId="77777777" w:rsidR="00752472" w:rsidRDefault="00752472">
      <w:pPr>
        <w:rPr>
          <w:rFonts w:ascii="Arial" w:hAnsi="Arial"/>
          <w:b/>
          <w:bCs/>
          <w:color w:val="000000"/>
        </w:rPr>
      </w:pPr>
    </w:p>
    <w:p w14:paraId="7DE13428" w14:textId="77777777" w:rsidR="00752472" w:rsidRDefault="00000000">
      <w:r>
        <w:rPr>
          <w:rFonts w:ascii="Arial" w:hAnsi="Arial"/>
          <w:color w:val="000000"/>
        </w:rPr>
        <w:t>___________________________________________________________________</w:t>
      </w:r>
    </w:p>
    <w:p w14:paraId="439ADC4A" w14:textId="77777777" w:rsidR="00752472" w:rsidRDefault="00752472"/>
    <w:p w14:paraId="2701E32B" w14:textId="77777777" w:rsidR="00752472" w:rsidRDefault="00752472">
      <w:pPr>
        <w:pageBreakBefore/>
      </w:pPr>
    </w:p>
    <w:p w14:paraId="0E74ABC3" w14:textId="77777777" w:rsidR="00752472" w:rsidRDefault="00000000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1. Do you support an exemption for existing fishers working on vessels of 10 metres and under?</w:t>
      </w:r>
    </w:p>
    <w:p w14:paraId="2CEE01BA" w14:textId="77777777" w:rsidR="00752472" w:rsidRDefault="00000000"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Arial" w:hAnsi="Arial"/>
          <w:color w:val="000000"/>
        </w:rPr>
        <w:t xml:space="preserve"> Yes</w:t>
      </w:r>
    </w:p>
    <w:p w14:paraId="41C504A7" w14:textId="77777777" w:rsidR="00752472" w:rsidRDefault="00000000"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Arial" w:hAnsi="Arial"/>
          <w:color w:val="000000"/>
        </w:rPr>
        <w:t xml:space="preserve"> No </w:t>
      </w:r>
    </w:p>
    <w:p w14:paraId="3E504A78" w14:textId="77777777" w:rsidR="00752472" w:rsidRDefault="00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Please provide detail in the space below, continuing on a separate sheet if necessary, of the reason for your answer</w:t>
      </w:r>
    </w:p>
    <w:p w14:paraId="2945A23B" w14:textId="77777777" w:rsidR="00752472" w:rsidRDefault="00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  <w:t>_________________________________________________________________________</w:t>
      </w:r>
    </w:p>
    <w:p w14:paraId="6F6D7398" w14:textId="77777777" w:rsidR="00752472" w:rsidRDefault="00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</w:t>
      </w:r>
    </w:p>
    <w:p w14:paraId="54F876F8" w14:textId="77777777" w:rsidR="00752472" w:rsidRDefault="00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</w:t>
      </w:r>
    </w:p>
    <w:p w14:paraId="5AF8DF89" w14:textId="77777777" w:rsidR="00752472" w:rsidRDefault="00752472">
      <w:pPr>
        <w:rPr>
          <w:rFonts w:ascii="Arial" w:hAnsi="Arial"/>
          <w:color w:val="000000"/>
          <w:sz w:val="24"/>
          <w:szCs w:val="24"/>
        </w:rPr>
      </w:pPr>
    </w:p>
    <w:p w14:paraId="18A463A3" w14:textId="77777777" w:rsidR="00752472" w:rsidRDefault="00000000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 Do you believe the criteria for the exemption (contained in para 2.8 to 2.12 of this consultation) are fair and workable in practice?</w:t>
      </w:r>
    </w:p>
    <w:p w14:paraId="758F2806" w14:textId="77777777" w:rsidR="00752472" w:rsidRDefault="00000000"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Arial" w:hAnsi="Arial"/>
          <w:color w:val="000000"/>
        </w:rPr>
        <w:t xml:space="preserve"> Yes</w:t>
      </w:r>
    </w:p>
    <w:p w14:paraId="0FFF56C8" w14:textId="77777777" w:rsidR="00752472" w:rsidRDefault="00000000"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Arial" w:hAnsi="Arial"/>
          <w:color w:val="000000"/>
        </w:rPr>
        <w:t xml:space="preserve"> No </w:t>
      </w:r>
    </w:p>
    <w:p w14:paraId="51B10003" w14:textId="77777777" w:rsidR="00752472" w:rsidRDefault="00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Please provide detail in the space below, continuing on a separate sheet if necessary, of the reason for your answer</w:t>
      </w:r>
    </w:p>
    <w:p w14:paraId="0E5A4643" w14:textId="77777777" w:rsidR="00752472" w:rsidRDefault="00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</w:r>
      <w:r>
        <w:rPr>
          <w:rFonts w:ascii="Arial" w:hAnsi="Arial"/>
          <w:color w:val="000000"/>
        </w:rPr>
        <w:softHyphen/>
        <w:t>_________________________________________________________________________</w:t>
      </w:r>
    </w:p>
    <w:p w14:paraId="384643A5" w14:textId="77777777" w:rsidR="00752472" w:rsidRDefault="00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</w:t>
      </w:r>
    </w:p>
    <w:p w14:paraId="7A9DD978" w14:textId="77777777" w:rsidR="00752472" w:rsidRDefault="000000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</w:t>
      </w:r>
    </w:p>
    <w:p w14:paraId="14ACCA35" w14:textId="77777777" w:rsidR="00752472" w:rsidRDefault="00752472">
      <w:pPr>
        <w:rPr>
          <w:rFonts w:ascii="Arial" w:hAnsi="Arial"/>
          <w:color w:val="000000"/>
          <w:sz w:val="24"/>
          <w:szCs w:val="24"/>
        </w:rPr>
      </w:pPr>
    </w:p>
    <w:p w14:paraId="43D5FF3D" w14:textId="77777777" w:rsidR="00752472" w:rsidRDefault="00752472">
      <w:pPr>
        <w:rPr>
          <w:rFonts w:ascii="Arial" w:hAnsi="Arial"/>
          <w:color w:val="000000"/>
          <w:sz w:val="24"/>
          <w:szCs w:val="24"/>
        </w:rPr>
      </w:pPr>
    </w:p>
    <w:p w14:paraId="03AD928B" w14:textId="77777777" w:rsidR="00752472" w:rsidRDefault="00752472">
      <w:pPr>
        <w:rPr>
          <w:rFonts w:ascii="Arial" w:hAnsi="Arial"/>
          <w:color w:val="000000"/>
          <w:sz w:val="24"/>
          <w:szCs w:val="24"/>
        </w:rPr>
      </w:pPr>
    </w:p>
    <w:p w14:paraId="34DB87A2" w14:textId="77777777" w:rsidR="00752472" w:rsidRDefault="00000000">
      <w:r>
        <w:rPr>
          <w:rFonts w:ascii="Arial" w:hAnsi="Arial"/>
          <w:noProof/>
          <w:color w:val="00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BC684" wp14:editId="33CBA9CB">
                <wp:simplePos x="0" y="0"/>
                <wp:positionH relativeFrom="margin">
                  <wp:align>left</wp:align>
                </wp:positionH>
                <wp:positionV relativeFrom="paragraph">
                  <wp:posOffset>340357</wp:posOffset>
                </wp:positionV>
                <wp:extent cx="5638803" cy="3609978"/>
                <wp:effectExtent l="0" t="0" r="19047" b="28572"/>
                <wp:wrapSquare wrapText="bothSides"/>
                <wp:docPr id="1124970322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3" cy="3609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69C6D8" w14:textId="77777777" w:rsidR="00752472" w:rsidRDefault="0075247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BC684" id="_x0000_t202" coordsize="21600,21600" o:spt="202" path="m,l,21600r21600,l21600,xe">
                <v:stroke joinstyle="miter"/>
                <v:path gradientshapeok="t" o:connecttype="rect"/>
              </v:shapetype>
              <v:shape id="Text Box 240" o:spid="_x0000_s1026" type="#_x0000_t202" style="position:absolute;margin-left:0;margin-top:26.8pt;width:444pt;height:284.2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" strokeweight=".26467mm">
                <v:textbox>
                  <w:txbxContent>
                    <w:p w14:paraId="0D69C6D8" w14:textId="77777777" w:rsidR="00752472" w:rsidRDefault="0075247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color w:val="000000"/>
        </w:rPr>
        <w:t>3. Do you have any additional comments to add to the response?</w:t>
      </w:r>
    </w:p>
    <w:p w14:paraId="64EF20F9" w14:textId="77777777" w:rsidR="00752472" w:rsidRDefault="00752472">
      <w:pPr>
        <w:rPr>
          <w:rFonts w:ascii="Arial" w:hAnsi="Arial"/>
          <w:b/>
          <w:color w:val="000000"/>
        </w:rPr>
      </w:pPr>
    </w:p>
    <w:p w14:paraId="44D0E977" w14:textId="77777777" w:rsidR="00752472" w:rsidRDefault="00752472">
      <w:pPr>
        <w:rPr>
          <w:rFonts w:ascii="Arial" w:hAnsi="Arial"/>
          <w:b/>
          <w:color w:val="006600"/>
        </w:rPr>
      </w:pPr>
    </w:p>
    <w:p w14:paraId="1D99617C" w14:textId="77777777" w:rsidR="00752472" w:rsidRDefault="00000000">
      <w:r>
        <w:rPr>
          <w:rFonts w:ascii="Arial" w:hAnsi="Arial"/>
          <w:sz w:val="24"/>
          <w:szCs w:val="24"/>
        </w:rPr>
        <w:t xml:space="preserve">Return a scanned copy of the completed version of this form to </w:t>
      </w:r>
      <w:hyperlink r:id="rId6" w:history="1">
        <w:r>
          <w:rPr>
            <w:rStyle w:val="Hyperlink"/>
            <w:rFonts w:ascii="Arial" w:hAnsi="Arial"/>
            <w:sz w:val="24"/>
            <w:szCs w:val="24"/>
          </w:rPr>
          <w:t>medical@mcga.gov.uk</w:t>
        </w:r>
      </w:hyperlink>
      <w:r>
        <w:rPr>
          <w:rFonts w:ascii="Arial" w:hAnsi="Arial"/>
        </w:rPr>
        <w:t xml:space="preserve">. </w:t>
      </w:r>
      <w:r>
        <w:rPr>
          <w:rFonts w:ascii="Arial" w:hAnsi="Arial"/>
          <w:sz w:val="24"/>
          <w:szCs w:val="24"/>
        </w:rPr>
        <w:t xml:space="preserve">or by post to: </w:t>
      </w:r>
    </w:p>
    <w:p w14:paraId="203D9110" w14:textId="77777777" w:rsidR="00752472" w:rsidRDefault="0000000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Maritime and Coastguard Agency (MCA), Bay 2/17, (Attention: Seafarer Safety and Health Team, Bay 2/17,) 105 Commercial Road, Southampton SO15 1EG.</w:t>
      </w:r>
    </w:p>
    <w:p w14:paraId="74F2E36F" w14:textId="77777777" w:rsidR="00752472" w:rsidRDefault="00752472">
      <w:pPr>
        <w:rPr>
          <w:rFonts w:ascii="Arial" w:hAnsi="Arial"/>
          <w:b/>
          <w:color w:val="006600"/>
        </w:rPr>
      </w:pPr>
    </w:p>
    <w:bookmarkEnd w:id="0"/>
    <w:p w14:paraId="250C0440" w14:textId="77777777" w:rsidR="00752472" w:rsidRDefault="00752472">
      <w:pPr>
        <w:rPr>
          <w:rFonts w:ascii="Arial" w:hAnsi="Arial"/>
        </w:rPr>
      </w:pPr>
    </w:p>
    <w:sectPr w:rsidR="007524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69F4" w14:textId="77777777" w:rsidR="00961C2B" w:rsidRDefault="00961C2B">
      <w:pPr>
        <w:spacing w:after="0" w:line="240" w:lineRule="auto"/>
      </w:pPr>
      <w:r>
        <w:separator/>
      </w:r>
    </w:p>
  </w:endnote>
  <w:endnote w:type="continuationSeparator" w:id="0">
    <w:p w14:paraId="1783B718" w14:textId="77777777" w:rsidR="00961C2B" w:rsidRDefault="0096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059B" w14:textId="77777777" w:rsidR="00000000" w:rsidRDefault="00000000">
    <w:pPr>
      <w:pStyle w:val="Footer"/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</w:rPr>
      <w:t>9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802D" w14:textId="77777777" w:rsidR="00961C2B" w:rsidRDefault="00961C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121645" w14:textId="77777777" w:rsidR="00961C2B" w:rsidRDefault="0096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41CA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2472"/>
    <w:rsid w:val="00752472"/>
    <w:rsid w:val="00961C2B"/>
    <w:rsid w:val="00F6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5DF7"/>
  <w15:docId w15:val="{6B1D507A-8777-46E9-BDCF-FF25CF4A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76E8B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MS Gothic" w:hAnsi="Calibri Light" w:cs="Times New Roman"/>
      <w:color w:val="276E8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MS Gothic" w:hAnsi="Calibri Light" w:cs="Times New Roman"/>
      <w:color w:val="276E8B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MS Gothic" w:hAnsi="Calibri Light" w:cs="Times New Roman"/>
      <w:color w:val="276E8B"/>
      <w:sz w:val="26"/>
      <w:szCs w:val="26"/>
    </w:rPr>
  </w:style>
  <w:style w:type="paragraph" w:styleId="NoSpacing">
    <w:name w:val="No Spacing"/>
    <w:pPr>
      <w:suppressAutoHyphens/>
      <w:spacing w:after="0" w:line="240" w:lineRule="auto"/>
    </w:pPr>
  </w:style>
  <w:style w:type="character" w:styleId="Hyperlink">
    <w:name w:val="Hyperlink"/>
    <w:basedOn w:val="DefaultParagraphFont"/>
    <w:rPr>
      <w:color w:val="6B9F25"/>
      <w:u w:val="single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FollowedHyperlink">
    <w:name w:val="FollowedHyperlink"/>
    <w:basedOn w:val="DefaultParagraphFont"/>
    <w:rPr>
      <w:color w:val="9F6715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ListParagraph">
    <w:name w:val="List Paragraph"/>
    <w:basedOn w:val="Normal"/>
    <w:pPr>
      <w:ind w:left="720"/>
      <w:contextualSpacing/>
    </w:p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en-US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Revision">
    <w:name w:val="Revision"/>
    <w:pPr>
      <w:suppressAutoHyphens/>
      <w:spacing w:after="0" w:line="240" w:lineRule="auto"/>
    </w:pPr>
  </w:style>
  <w:style w:type="paragraph" w:customStyle="1" w:styleId="IAIOQ2">
    <w:name w:val="IAIOQ2"/>
    <w:basedOn w:val="Normal"/>
    <w:pPr>
      <w:spacing w:before="50" w:after="50" w:line="240" w:lineRule="auto"/>
      <w:ind w:left="113" w:right="113"/>
    </w:pPr>
    <w:rPr>
      <w:rFonts w:ascii="Arial" w:eastAsia="SimSun" w:hAnsi="Arial" w:cs="Times New Roman"/>
      <w:b/>
      <w:color w:val="000000"/>
      <w:spacing w:val="-5"/>
      <w:sz w:val="20"/>
      <w:szCs w:val="20"/>
      <w:lang w:eastAsia="zh-C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al@mcga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 Consultation Template</dc:title>
  <dc:subject/>
  <dc:creator>Gareth Love</dc:creator>
  <dc:description/>
  <cp:lastModifiedBy>Sophie Peacey</cp:lastModifiedBy>
  <cp:revision>2</cp:revision>
  <cp:lastPrinted>2022-12-01T08:36:00Z</cp:lastPrinted>
  <dcterms:created xsi:type="dcterms:W3CDTF">2024-01-23T09:49:00Z</dcterms:created>
  <dcterms:modified xsi:type="dcterms:W3CDTF">2024-01-23T09:49:00Z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LDDivision">
    <vt:lpwstr/>
  </property>
  <property fmtid="{D5CDD505-2E9C-101B-9397-08002B2CF9AE}" pid="3" name="MLDBranch">
    <vt:lpwstr/>
  </property>
  <property fmtid="{D5CDD505-2E9C-101B-9397-08002B2CF9AE}" pid="4" name="ContentTypeId">
    <vt:lpwstr>0x010100418B29E16C8DAF4AB8B8D3C3562E4AEF</vt:lpwstr>
  </property>
  <property fmtid="{D5CDD505-2E9C-101B-9397-08002B2CF9AE}" pid="5" name="MLDDirectorate">
    <vt:lpwstr>11;#OCCE|b1ad4ca1-5c55-4ac7-8ca7-37e0e066f7dc</vt:lpwstr>
  </property>
  <property fmtid="{D5CDD505-2E9C-101B-9397-08002B2CF9AE}" pid="6" name="MLDApproverGroupID">
    <vt:lpwstr>109;#b5caefad-7daa-4ea0-86e5-9c374130afdc|a8857493-909c-43c7-967d-c90a73b1bb85</vt:lpwstr>
  </property>
  <property fmtid="{D5CDD505-2E9C-101B-9397-08002B2CF9AE}" pid="7" name="SecurityMarking">
    <vt:lpwstr>1;#Official|2e655484-ebfc-4ea9-846a-aaf9328996e5</vt:lpwstr>
  </property>
  <property fmtid="{D5CDD505-2E9C-101B-9397-08002B2CF9AE}" pid="8" name="MLDType">
    <vt:lpwstr>128;#Corporate Guidance (CORP)|ac73b475-498e-4e55-b206-7dae7384caf1</vt:lpwstr>
  </property>
  <property fmtid="{D5CDD505-2E9C-101B-9397-08002B2CF9AE}" pid="9" name="MLDOwnerGroupID">
    <vt:lpwstr>110;#6f16bdba-1a74-462a-b2e8-ac06bb70eaca|ddc770bd-b738-41e5-8d3e-1f7605c9361e</vt:lpwstr>
  </property>
  <property fmtid="{D5CDD505-2E9C-101B-9397-08002B2CF9AE}" pid="10" name="MLDTeam">
    <vt:lpwstr>36;#Secretariat Evidence and Analysis|e315eae8-4884-4683-a58f-f648d239993a</vt:lpwstr>
  </property>
  <property fmtid="{D5CDD505-2E9C-101B-9397-08002B2CF9AE}" pid="11" name="AuthorIds_UIVersion_515">
    <vt:lpwstr>236</vt:lpwstr>
  </property>
  <property fmtid="{D5CDD505-2E9C-101B-9397-08002B2CF9AE}" pid="12" name="MLD Document Prefix">
    <vt:lpwstr/>
  </property>
  <property fmtid="{D5CDD505-2E9C-101B-9397-08002B2CF9AE}" pid="13" name="Order">
    <vt:r8>112600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CM Team">
    <vt:lpwstr/>
  </property>
  <property fmtid="{D5CDD505-2E9C-101B-9397-08002B2CF9AE}" pid="20" name="Security Marking">
    <vt:lpwstr>3;#OFFICIAL|2e655484-ebfc-4ea9-846a-aaf9328996e5</vt:lpwstr>
  </property>
  <property fmtid="{D5CDD505-2E9C-101B-9397-08002B2CF9AE}" pid="21" name="TCM Division">
    <vt:lpwstr/>
  </property>
  <property fmtid="{D5CDD505-2E9C-101B-9397-08002B2CF9AE}" pid="22" name="TCM Directorate">
    <vt:lpwstr>2;#DUKSR|6f387808-2ff8-4acd-a9d6-baa6dcb521b6</vt:lpwstr>
  </property>
  <property fmtid="{D5CDD505-2E9C-101B-9397-08002B2CF9AE}" pid="23" name="TCM Branch">
    <vt:lpwstr>1;#Seafarer Safety and Health|4e5b8b9f-ccd4-4353-99b3-7a59cd7e2618</vt:lpwstr>
  </property>
  <property fmtid="{D5CDD505-2E9C-101B-9397-08002B2CF9AE}" pid="24" name="MSIP_Label_c8b443ca-c1bb-4c68-942c-da1c759dcae1_Enabled">
    <vt:lpwstr>true</vt:lpwstr>
  </property>
  <property fmtid="{D5CDD505-2E9C-101B-9397-08002B2CF9AE}" pid="25" name="MSIP_Label_c8b443ca-c1bb-4c68-942c-da1c759dcae1_SetDate">
    <vt:lpwstr>2022-03-24T15:37:38Z</vt:lpwstr>
  </property>
  <property fmtid="{D5CDD505-2E9C-101B-9397-08002B2CF9AE}" pid="26" name="MSIP_Label_c8b443ca-c1bb-4c68-942c-da1c759dcae1_Method">
    <vt:lpwstr>Standard</vt:lpwstr>
  </property>
  <property fmtid="{D5CDD505-2E9C-101B-9397-08002B2CF9AE}" pid="27" name="MSIP_Label_c8b443ca-c1bb-4c68-942c-da1c759dcae1_Name">
    <vt:lpwstr>c8b443ca-c1bb-4c68-942c-da1c759dcae1</vt:lpwstr>
  </property>
  <property fmtid="{D5CDD505-2E9C-101B-9397-08002B2CF9AE}" pid="28" name="MSIP_Label_c8b443ca-c1bb-4c68-942c-da1c759dcae1_SiteId">
    <vt:lpwstr>3fd408b5-82e6-4dc0-a36c-6e2aa815db3e</vt:lpwstr>
  </property>
  <property fmtid="{D5CDD505-2E9C-101B-9397-08002B2CF9AE}" pid="29" name="MSIP_Label_c8b443ca-c1bb-4c68-942c-da1c759dcae1_ActionId">
    <vt:lpwstr>13502b63-1787-4f31-8c38-d026e04f1009</vt:lpwstr>
  </property>
  <property fmtid="{D5CDD505-2E9C-101B-9397-08002B2CF9AE}" pid="30" name="MSIP_Label_c8b443ca-c1bb-4c68-942c-da1c759dcae1_ContentBits">
    <vt:lpwstr>0</vt:lpwstr>
  </property>
  <property fmtid="{D5CDD505-2E9C-101B-9397-08002B2CF9AE}" pid="31" name="MediaServiceImageTags">
    <vt:lpwstr/>
  </property>
  <property fmtid="{D5CDD505-2E9C-101B-9397-08002B2CF9AE}" pid="32" name="CustomTag">
    <vt:lpwstr/>
  </property>
  <property fmtid="{D5CDD505-2E9C-101B-9397-08002B2CF9AE}" pid="33" name="FinancialYear">
    <vt:lpwstr/>
  </property>
</Properties>
</file>