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Layout w:type="fixed"/>
        <w:tblCellMar>
          <w:left w:w="10" w:type="dxa"/>
          <w:right w:w="10" w:type="dxa"/>
        </w:tblCellMar>
        <w:tblLook w:val="04A0" w:firstRow="1" w:lastRow="0" w:firstColumn="1" w:lastColumn="0" w:noHBand="0" w:noVBand="1"/>
      </w:tblPr>
      <w:tblGrid>
        <w:gridCol w:w="9322"/>
      </w:tblGrid>
      <w:tr w:rsidR="00E55E75" w14:paraId="03C9DFC7" w14:textId="77777777" w:rsidTr="00AC3440">
        <w:trPr>
          <w:trHeight w:val="81"/>
        </w:trPr>
        <w:tc>
          <w:tcPr>
            <w:tcW w:w="9322" w:type="dxa"/>
            <w:shd w:val="clear" w:color="auto" w:fill="auto"/>
            <w:tcMar>
              <w:top w:w="0" w:type="dxa"/>
              <w:left w:w="108" w:type="dxa"/>
              <w:bottom w:w="0" w:type="dxa"/>
              <w:right w:w="108" w:type="dxa"/>
            </w:tcMar>
          </w:tcPr>
          <w:p w14:paraId="1D73EFF9" w14:textId="77777777" w:rsidR="00E55E75" w:rsidRPr="00AC3440" w:rsidRDefault="007D1E03" w:rsidP="00AC3440">
            <w:pPr>
              <w:tabs>
                <w:tab w:val="center" w:pos="4536"/>
                <w:tab w:val="right" w:pos="9248"/>
              </w:tabs>
              <w:jc w:val="right"/>
              <w:rPr>
                <w:rFonts w:cs="Arial"/>
                <w:bCs/>
                <w:sz w:val="22"/>
                <w:szCs w:val="22"/>
              </w:rPr>
            </w:pPr>
            <w:r w:rsidRPr="00AC3440">
              <w:rPr>
                <w:rFonts w:cs="Arial"/>
                <w:bCs/>
                <w:sz w:val="22"/>
                <w:szCs w:val="22"/>
              </w:rPr>
              <w:t>UPPER TRIBUNAL (LANDS CHAMBER)</w:t>
            </w:r>
          </w:p>
        </w:tc>
      </w:tr>
      <w:tr w:rsidR="00E55E75" w14:paraId="2EC290A0" w14:textId="77777777">
        <w:tc>
          <w:tcPr>
            <w:tcW w:w="9322" w:type="dxa"/>
            <w:shd w:val="clear" w:color="auto" w:fill="auto"/>
            <w:tcMar>
              <w:top w:w="0" w:type="dxa"/>
              <w:left w:w="108" w:type="dxa"/>
              <w:bottom w:w="0" w:type="dxa"/>
              <w:right w:w="108" w:type="dxa"/>
            </w:tcMar>
          </w:tcPr>
          <w:p w14:paraId="729A913C" w14:textId="393D9742" w:rsidR="00E55E75" w:rsidRDefault="00AC3440" w:rsidP="00AC3440">
            <w:pPr>
              <w:tabs>
                <w:tab w:val="right" w:pos="9248"/>
              </w:tabs>
            </w:pPr>
            <w:r>
              <w:rPr>
                <w:noProof/>
              </w:rPr>
              <w:drawing>
                <wp:inline distT="0" distB="0" distL="0" distR="0" wp14:anchorId="0AE09C0B" wp14:editId="0D3A92D4">
                  <wp:extent cx="1563097" cy="719847"/>
                  <wp:effectExtent l="0" t="0" r="0" b="4445"/>
                  <wp:docPr id="1856479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479205" name="Picture 185647920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573" cy="735263"/>
                          </a:xfrm>
                          <a:prstGeom prst="rect">
                            <a:avLst/>
                          </a:prstGeom>
                        </pic:spPr>
                      </pic:pic>
                    </a:graphicData>
                  </a:graphic>
                </wp:inline>
              </w:drawing>
            </w:r>
          </w:p>
        </w:tc>
      </w:tr>
    </w:tbl>
    <w:p w14:paraId="41AAD38A" w14:textId="77777777" w:rsidR="00AC3440" w:rsidRDefault="00AC3440">
      <w:pPr>
        <w:jc w:val="right"/>
        <w:textAlignment w:val="auto"/>
        <w:rPr>
          <w:rFonts w:cs="Arial"/>
          <w:b/>
          <w:bCs/>
        </w:rPr>
      </w:pPr>
      <w:bookmarkStart w:id="0" w:name="CaseNumber"/>
      <w:bookmarkEnd w:id="0"/>
    </w:p>
    <w:p w14:paraId="79331E44" w14:textId="6E90BCE0" w:rsidR="00E55E75" w:rsidRDefault="007D1E03">
      <w:pPr>
        <w:jc w:val="right"/>
        <w:textAlignment w:val="auto"/>
        <w:rPr>
          <w:rFonts w:cs="Arial"/>
          <w:b/>
          <w:bCs/>
        </w:rPr>
      </w:pPr>
      <w:r>
        <w:rPr>
          <w:rFonts w:cs="Arial"/>
          <w:b/>
          <w:bCs/>
        </w:rPr>
        <w:t>LP</w:t>
      </w:r>
      <w:proofErr w:type="gramStart"/>
      <w:r>
        <w:rPr>
          <w:rFonts w:cs="Arial"/>
          <w:b/>
          <w:bCs/>
        </w:rPr>
        <w:t>/..</w:t>
      </w:r>
      <w:proofErr w:type="gramEnd"/>
      <w:r>
        <w:rPr>
          <w:rFonts w:cs="Arial"/>
          <w:b/>
          <w:bCs/>
        </w:rPr>
        <w:t>/20..</w:t>
      </w:r>
    </w:p>
    <w:p w14:paraId="391D163B" w14:textId="77777777" w:rsidR="00E55E75" w:rsidRDefault="00E55E75">
      <w:pPr>
        <w:jc w:val="right"/>
        <w:rPr>
          <w:rFonts w:cs="Arial"/>
          <w:b/>
          <w:bCs/>
        </w:rPr>
      </w:pPr>
    </w:p>
    <w:p w14:paraId="2BEAB545" w14:textId="77777777" w:rsidR="00E55E75" w:rsidRDefault="007D1E03">
      <w:pPr>
        <w:jc w:val="center"/>
        <w:rPr>
          <w:rFonts w:cs="Arial"/>
          <w:b/>
        </w:rPr>
      </w:pPr>
      <w:r>
        <w:rPr>
          <w:rFonts w:cs="Arial"/>
          <w:b/>
        </w:rPr>
        <w:t>TRIBUNALS, COURTS AND ENFORCEMENT ACT 2007</w:t>
      </w:r>
    </w:p>
    <w:p w14:paraId="6638D7C1" w14:textId="77777777" w:rsidR="00E55E75" w:rsidRDefault="00E55E75">
      <w:pPr>
        <w:jc w:val="center"/>
        <w:rPr>
          <w:rFonts w:cs="Arial"/>
          <w:b/>
        </w:rPr>
      </w:pPr>
    </w:p>
    <w:p w14:paraId="2DB9F017" w14:textId="77777777" w:rsidR="00E55E75" w:rsidRDefault="007D1E03">
      <w:pPr>
        <w:pStyle w:val="Style1"/>
        <w:spacing w:before="120"/>
        <w:jc w:val="center"/>
        <w:rPr>
          <w:b/>
        </w:rPr>
      </w:pPr>
      <w:r>
        <w:rPr>
          <w:b/>
        </w:rPr>
        <w:t>AN APPLICATION UNDER</w:t>
      </w:r>
    </w:p>
    <w:p w14:paraId="513C6830" w14:textId="77777777" w:rsidR="00E55E75" w:rsidRDefault="007D1E03">
      <w:pPr>
        <w:jc w:val="center"/>
      </w:pPr>
      <w:r>
        <w:rPr>
          <w:b/>
        </w:rPr>
        <w:t>SECTION 84 OF THE LAW OF PROPERTY ACT 1925</w:t>
      </w:r>
    </w:p>
    <w:p w14:paraId="1575DE5E" w14:textId="77777777" w:rsidR="00E55E75" w:rsidRDefault="00E55E75">
      <w:pPr>
        <w:jc w:val="center"/>
        <w:rPr>
          <w:rFonts w:cs="Arial"/>
          <w:b/>
          <w:bCs/>
        </w:rPr>
      </w:pPr>
    </w:p>
    <w:p w14:paraId="65E08953" w14:textId="77777777" w:rsidR="00E55E75" w:rsidRDefault="007D1E03">
      <w:pPr>
        <w:pStyle w:val="Heading1"/>
        <w:rPr>
          <w:rFonts w:cs="Arial"/>
        </w:rPr>
      </w:pPr>
      <w:bookmarkStart w:id="1" w:name="OrderTitle"/>
      <w:bookmarkEnd w:id="1"/>
      <w:r>
        <w:rPr>
          <w:rFonts w:cs="Arial"/>
        </w:rPr>
        <w:t>BETWEEN:</w:t>
      </w:r>
    </w:p>
    <w:p w14:paraId="7201126F" w14:textId="77777777" w:rsidR="00E55E75" w:rsidRDefault="00E55E75">
      <w:pPr>
        <w:rPr>
          <w:rFonts w:eastAsia="Arial Unicode MS"/>
        </w:rPr>
      </w:pPr>
    </w:p>
    <w:p w14:paraId="2E2D31FF" w14:textId="77777777" w:rsidR="00E55E75" w:rsidRDefault="00E55E75">
      <w:pPr>
        <w:jc w:val="center"/>
        <w:rPr>
          <w:rFonts w:eastAsia="Arial Unicode MS"/>
          <w:b/>
        </w:rPr>
      </w:pPr>
    </w:p>
    <w:p w14:paraId="16E3DF47" w14:textId="77777777" w:rsidR="00E55E75" w:rsidRDefault="00E55E75">
      <w:pPr>
        <w:rPr>
          <w:rFonts w:cs="Arial"/>
        </w:rPr>
      </w:pPr>
    </w:p>
    <w:tbl>
      <w:tblPr>
        <w:tblW w:w="9071" w:type="dxa"/>
        <w:tblCellMar>
          <w:left w:w="10" w:type="dxa"/>
          <w:right w:w="10" w:type="dxa"/>
        </w:tblCellMar>
        <w:tblLook w:val="04A0" w:firstRow="1" w:lastRow="0" w:firstColumn="1" w:lastColumn="0" w:noHBand="0" w:noVBand="1"/>
      </w:tblPr>
      <w:tblGrid>
        <w:gridCol w:w="1791"/>
        <w:gridCol w:w="5618"/>
        <w:gridCol w:w="1662"/>
      </w:tblGrid>
      <w:tr w:rsidR="00E55E75" w14:paraId="79CC6627" w14:textId="77777777">
        <w:tc>
          <w:tcPr>
            <w:tcW w:w="1791" w:type="dxa"/>
            <w:shd w:val="clear" w:color="auto" w:fill="auto"/>
            <w:tcMar>
              <w:top w:w="0" w:type="dxa"/>
              <w:left w:w="108" w:type="dxa"/>
              <w:bottom w:w="0" w:type="dxa"/>
              <w:right w:w="108" w:type="dxa"/>
            </w:tcMar>
          </w:tcPr>
          <w:p w14:paraId="3EF95FE4" w14:textId="77777777" w:rsidR="00E55E75" w:rsidRDefault="00E55E75">
            <w:pPr>
              <w:jc w:val="left"/>
              <w:rPr>
                <w:rFonts w:cs="Arial"/>
                <w:b/>
                <w:bCs/>
              </w:rPr>
            </w:pPr>
          </w:p>
        </w:tc>
        <w:tc>
          <w:tcPr>
            <w:tcW w:w="5618" w:type="dxa"/>
            <w:shd w:val="clear" w:color="auto" w:fill="auto"/>
            <w:tcMar>
              <w:top w:w="0" w:type="dxa"/>
              <w:left w:w="108" w:type="dxa"/>
              <w:bottom w:w="0" w:type="dxa"/>
              <w:right w:w="108" w:type="dxa"/>
            </w:tcMar>
          </w:tcPr>
          <w:p w14:paraId="7FE07109" w14:textId="77777777" w:rsidR="00E55E75" w:rsidRDefault="00E55E75">
            <w:pPr>
              <w:jc w:val="center"/>
              <w:rPr>
                <w:rFonts w:cs="Arial"/>
                <w:b/>
                <w:bCs/>
              </w:rPr>
            </w:pPr>
            <w:bookmarkStart w:id="2" w:name="FirstPartyName"/>
            <w:bookmarkEnd w:id="2"/>
          </w:p>
        </w:tc>
        <w:tc>
          <w:tcPr>
            <w:tcW w:w="1662" w:type="dxa"/>
            <w:shd w:val="clear" w:color="auto" w:fill="auto"/>
            <w:tcMar>
              <w:top w:w="0" w:type="dxa"/>
              <w:left w:w="108" w:type="dxa"/>
              <w:bottom w:w="0" w:type="dxa"/>
              <w:right w:w="108" w:type="dxa"/>
            </w:tcMar>
          </w:tcPr>
          <w:p w14:paraId="605D63D9" w14:textId="77777777" w:rsidR="00E55E75" w:rsidRDefault="007D1E03">
            <w:pPr>
              <w:jc w:val="right"/>
              <w:rPr>
                <w:rFonts w:cs="Arial"/>
                <w:b/>
                <w:bCs/>
              </w:rPr>
            </w:pPr>
            <w:bookmarkStart w:id="3" w:name="FirstPartyType"/>
            <w:bookmarkEnd w:id="3"/>
            <w:r>
              <w:rPr>
                <w:rFonts w:cs="Arial"/>
                <w:b/>
                <w:bCs/>
              </w:rPr>
              <w:t>Applicant</w:t>
            </w:r>
          </w:p>
        </w:tc>
      </w:tr>
      <w:tr w:rsidR="00E55E75" w14:paraId="7BD5F6C2" w14:textId="77777777">
        <w:tc>
          <w:tcPr>
            <w:tcW w:w="1791" w:type="dxa"/>
            <w:shd w:val="clear" w:color="auto" w:fill="auto"/>
            <w:tcMar>
              <w:top w:w="0" w:type="dxa"/>
              <w:left w:w="108" w:type="dxa"/>
              <w:bottom w:w="0" w:type="dxa"/>
              <w:right w:w="108" w:type="dxa"/>
            </w:tcMar>
          </w:tcPr>
          <w:p w14:paraId="3177DCB5" w14:textId="77777777" w:rsidR="00E55E75" w:rsidRDefault="00E55E75">
            <w:pPr>
              <w:jc w:val="left"/>
              <w:rPr>
                <w:rFonts w:cs="Arial"/>
                <w:b/>
                <w:bCs/>
              </w:rPr>
            </w:pPr>
          </w:p>
        </w:tc>
        <w:tc>
          <w:tcPr>
            <w:tcW w:w="5618" w:type="dxa"/>
            <w:shd w:val="clear" w:color="auto" w:fill="auto"/>
            <w:tcMar>
              <w:top w:w="0" w:type="dxa"/>
              <w:left w:w="108" w:type="dxa"/>
              <w:bottom w:w="0" w:type="dxa"/>
              <w:right w:w="108" w:type="dxa"/>
            </w:tcMar>
          </w:tcPr>
          <w:p w14:paraId="5E5ACD04" w14:textId="77777777" w:rsidR="00E55E75" w:rsidRDefault="00E55E75">
            <w:pPr>
              <w:jc w:val="center"/>
              <w:rPr>
                <w:rFonts w:cs="Arial"/>
                <w:b/>
                <w:bCs/>
              </w:rPr>
            </w:pPr>
          </w:p>
          <w:p w14:paraId="5C77F44F" w14:textId="77777777" w:rsidR="00E55E75" w:rsidRDefault="007D1E03">
            <w:pPr>
              <w:jc w:val="center"/>
              <w:rPr>
                <w:rFonts w:cs="Arial"/>
                <w:b/>
                <w:bCs/>
              </w:rPr>
            </w:pPr>
            <w:r>
              <w:rPr>
                <w:rFonts w:cs="Arial"/>
                <w:b/>
                <w:bCs/>
              </w:rPr>
              <w:t>and</w:t>
            </w:r>
          </w:p>
          <w:p w14:paraId="00E45D16" w14:textId="77777777" w:rsidR="00E55E75" w:rsidRDefault="00E55E75">
            <w:pPr>
              <w:jc w:val="center"/>
              <w:rPr>
                <w:rFonts w:cs="Arial"/>
                <w:b/>
                <w:bCs/>
              </w:rPr>
            </w:pPr>
          </w:p>
        </w:tc>
        <w:tc>
          <w:tcPr>
            <w:tcW w:w="1662" w:type="dxa"/>
            <w:shd w:val="clear" w:color="auto" w:fill="auto"/>
            <w:tcMar>
              <w:top w:w="0" w:type="dxa"/>
              <w:left w:w="108" w:type="dxa"/>
              <w:bottom w:w="0" w:type="dxa"/>
              <w:right w:w="108" w:type="dxa"/>
            </w:tcMar>
          </w:tcPr>
          <w:p w14:paraId="53D3B510" w14:textId="77777777" w:rsidR="00E55E75" w:rsidRDefault="00E55E75">
            <w:pPr>
              <w:jc w:val="right"/>
              <w:rPr>
                <w:rFonts w:cs="Arial"/>
                <w:b/>
                <w:bCs/>
              </w:rPr>
            </w:pPr>
          </w:p>
        </w:tc>
      </w:tr>
      <w:tr w:rsidR="00E55E75" w14:paraId="5499CA5E" w14:textId="77777777">
        <w:tc>
          <w:tcPr>
            <w:tcW w:w="1791" w:type="dxa"/>
            <w:shd w:val="clear" w:color="auto" w:fill="auto"/>
            <w:tcMar>
              <w:top w:w="0" w:type="dxa"/>
              <w:left w:w="108" w:type="dxa"/>
              <w:bottom w:w="0" w:type="dxa"/>
              <w:right w:w="108" w:type="dxa"/>
            </w:tcMar>
          </w:tcPr>
          <w:p w14:paraId="5A6874E0" w14:textId="77777777" w:rsidR="00E55E75" w:rsidRDefault="00E55E75">
            <w:pPr>
              <w:jc w:val="left"/>
              <w:rPr>
                <w:rFonts w:cs="Arial"/>
                <w:b/>
                <w:bCs/>
              </w:rPr>
            </w:pPr>
          </w:p>
        </w:tc>
        <w:tc>
          <w:tcPr>
            <w:tcW w:w="5618" w:type="dxa"/>
            <w:shd w:val="clear" w:color="auto" w:fill="auto"/>
            <w:tcMar>
              <w:top w:w="0" w:type="dxa"/>
              <w:left w:w="108" w:type="dxa"/>
              <w:bottom w:w="0" w:type="dxa"/>
              <w:right w:w="108" w:type="dxa"/>
            </w:tcMar>
          </w:tcPr>
          <w:p w14:paraId="74588DB6" w14:textId="77777777" w:rsidR="00E55E75" w:rsidRDefault="007D1E03">
            <w:pPr>
              <w:numPr>
                <w:ilvl w:val="0"/>
                <w:numId w:val="1"/>
              </w:numPr>
              <w:jc w:val="center"/>
              <w:rPr>
                <w:rFonts w:cs="Arial"/>
                <w:b/>
                <w:bCs/>
              </w:rPr>
            </w:pPr>
            <w:bookmarkStart w:id="4" w:name="SecondPartyName"/>
            <w:bookmarkEnd w:id="4"/>
            <w:r>
              <w:rPr>
                <w:rFonts w:cs="Arial"/>
                <w:b/>
                <w:bCs/>
              </w:rPr>
              <w:t>…</w:t>
            </w:r>
          </w:p>
          <w:p w14:paraId="0441853E" w14:textId="77777777" w:rsidR="00E55E75" w:rsidRDefault="007D1E03">
            <w:pPr>
              <w:numPr>
                <w:ilvl w:val="0"/>
                <w:numId w:val="1"/>
              </w:numPr>
              <w:jc w:val="center"/>
              <w:rPr>
                <w:rFonts w:cs="Arial"/>
                <w:b/>
                <w:bCs/>
              </w:rPr>
            </w:pPr>
            <w:r>
              <w:rPr>
                <w:rFonts w:cs="Arial"/>
                <w:b/>
                <w:bCs/>
              </w:rPr>
              <w:t>…</w:t>
            </w:r>
          </w:p>
          <w:p w14:paraId="60A15464" w14:textId="77777777" w:rsidR="00E55E75" w:rsidRDefault="00E55E75">
            <w:pPr>
              <w:ind w:left="360"/>
              <w:rPr>
                <w:rFonts w:cs="Arial"/>
                <w:b/>
                <w:bCs/>
              </w:rPr>
            </w:pPr>
          </w:p>
        </w:tc>
        <w:tc>
          <w:tcPr>
            <w:tcW w:w="1662" w:type="dxa"/>
            <w:shd w:val="clear" w:color="auto" w:fill="auto"/>
            <w:tcMar>
              <w:top w:w="0" w:type="dxa"/>
              <w:left w:w="108" w:type="dxa"/>
              <w:bottom w:w="0" w:type="dxa"/>
              <w:right w:w="108" w:type="dxa"/>
            </w:tcMar>
          </w:tcPr>
          <w:p w14:paraId="282F7B5D" w14:textId="77777777" w:rsidR="00E55E75" w:rsidRDefault="00E55E75">
            <w:pPr>
              <w:jc w:val="right"/>
              <w:rPr>
                <w:rFonts w:cs="Arial"/>
                <w:b/>
                <w:bCs/>
              </w:rPr>
            </w:pPr>
            <w:bookmarkStart w:id="5" w:name="SecondPartyType"/>
            <w:bookmarkEnd w:id="5"/>
          </w:p>
          <w:p w14:paraId="409C5C00" w14:textId="77777777" w:rsidR="00E55E75" w:rsidRDefault="00E55E75">
            <w:pPr>
              <w:jc w:val="right"/>
              <w:rPr>
                <w:rFonts w:cs="Arial"/>
                <w:b/>
                <w:bCs/>
              </w:rPr>
            </w:pPr>
          </w:p>
          <w:p w14:paraId="49825533" w14:textId="77777777" w:rsidR="00E55E75" w:rsidRDefault="00E55E75">
            <w:pPr>
              <w:jc w:val="right"/>
              <w:rPr>
                <w:rFonts w:cs="Arial"/>
                <w:b/>
                <w:bCs/>
              </w:rPr>
            </w:pPr>
          </w:p>
          <w:p w14:paraId="280B6044" w14:textId="77777777" w:rsidR="00E55E75" w:rsidRDefault="00E55E75">
            <w:pPr>
              <w:jc w:val="right"/>
              <w:rPr>
                <w:rFonts w:cs="Arial"/>
                <w:b/>
                <w:bCs/>
              </w:rPr>
            </w:pPr>
          </w:p>
          <w:p w14:paraId="5778E944" w14:textId="77777777" w:rsidR="00E55E75" w:rsidRDefault="007D1E03">
            <w:pPr>
              <w:jc w:val="right"/>
              <w:rPr>
                <w:rFonts w:cs="Arial"/>
                <w:b/>
                <w:bCs/>
              </w:rPr>
            </w:pPr>
            <w:r>
              <w:rPr>
                <w:rFonts w:cs="Arial"/>
                <w:b/>
                <w:bCs/>
              </w:rPr>
              <w:t>Objectors</w:t>
            </w:r>
          </w:p>
        </w:tc>
      </w:tr>
    </w:tbl>
    <w:p w14:paraId="2AF54ADF" w14:textId="77777777" w:rsidR="00E55E75" w:rsidRDefault="00E55E75">
      <w:pPr>
        <w:tabs>
          <w:tab w:val="center" w:pos="4536"/>
          <w:tab w:val="right" w:pos="9072"/>
        </w:tabs>
        <w:jc w:val="left"/>
        <w:rPr>
          <w:rFonts w:cs="Arial"/>
          <w:b/>
          <w:bCs/>
        </w:rPr>
      </w:pPr>
    </w:p>
    <w:p w14:paraId="1F4614DF" w14:textId="77777777" w:rsidR="00E55E75" w:rsidRDefault="007D1E03">
      <w:pPr>
        <w:tabs>
          <w:tab w:val="center" w:pos="4536"/>
          <w:tab w:val="right" w:pos="9072"/>
        </w:tabs>
        <w:jc w:val="center"/>
        <w:rPr>
          <w:rFonts w:cs="Arial"/>
          <w:b/>
          <w:bCs/>
        </w:rPr>
      </w:pPr>
      <w:r>
        <w:rPr>
          <w:rFonts w:cs="Arial"/>
          <w:b/>
          <w:bCs/>
        </w:rPr>
        <w:t>________________________________</w:t>
      </w:r>
    </w:p>
    <w:p w14:paraId="5E9B69E7" w14:textId="77777777" w:rsidR="00E55E75" w:rsidRDefault="00E55E75">
      <w:pPr>
        <w:tabs>
          <w:tab w:val="center" w:pos="4536"/>
          <w:tab w:val="right" w:pos="9072"/>
        </w:tabs>
        <w:jc w:val="left"/>
        <w:rPr>
          <w:rFonts w:cs="Arial"/>
        </w:rPr>
      </w:pPr>
    </w:p>
    <w:p w14:paraId="0B3ABA48" w14:textId="77777777" w:rsidR="00E55E75" w:rsidRDefault="00E55E75">
      <w:pPr>
        <w:spacing w:line="360" w:lineRule="auto"/>
        <w:rPr>
          <w:rFonts w:cs="Arial"/>
          <w:b/>
        </w:rPr>
      </w:pPr>
      <w:bookmarkStart w:id="6" w:name="OrderText"/>
      <w:bookmarkEnd w:id="6"/>
    </w:p>
    <w:p w14:paraId="67091D31" w14:textId="14D854CE" w:rsidR="00E55E75" w:rsidRDefault="007D1E03" w:rsidP="00AC3440">
      <w:pPr>
        <w:spacing w:after="120"/>
        <w:jc w:val="left"/>
        <w:rPr>
          <w:b/>
          <w:bCs/>
        </w:rPr>
      </w:pPr>
      <w:r>
        <w:rPr>
          <w:b/>
          <w:bCs/>
        </w:rPr>
        <w:t xml:space="preserve">The </w:t>
      </w:r>
      <w:r w:rsidR="00C07CD3">
        <w:rPr>
          <w:b/>
          <w:bCs/>
        </w:rPr>
        <w:t>t</w:t>
      </w:r>
      <w:r>
        <w:rPr>
          <w:b/>
          <w:bCs/>
        </w:rPr>
        <w:t xml:space="preserve">ribunal has considered the application and the notices of </w:t>
      </w:r>
      <w:proofErr w:type="gramStart"/>
      <w:r>
        <w:rPr>
          <w:b/>
          <w:bCs/>
        </w:rPr>
        <w:t>objection</w:t>
      </w:r>
      <w:proofErr w:type="gramEnd"/>
      <w:r>
        <w:rPr>
          <w:b/>
          <w:bCs/>
        </w:rPr>
        <w:t xml:space="preserve"> and the following directions will apply to this application:</w:t>
      </w:r>
    </w:p>
    <w:p w14:paraId="63B1D41D" w14:textId="77777777" w:rsidR="00E55E75" w:rsidRDefault="00E55E75" w:rsidP="00AC3440">
      <w:pPr>
        <w:spacing w:after="120"/>
        <w:jc w:val="left"/>
        <w:rPr>
          <w:b/>
          <w:bCs/>
        </w:rPr>
      </w:pPr>
    </w:p>
    <w:p w14:paraId="38234B48" w14:textId="77777777" w:rsidR="00E55E75" w:rsidRDefault="007D1E03" w:rsidP="00AC3440">
      <w:pPr>
        <w:spacing w:after="240"/>
        <w:jc w:val="left"/>
      </w:pPr>
      <w:r>
        <w:rPr>
          <w:bCs/>
        </w:rPr>
        <w:tab/>
      </w:r>
      <w:r>
        <w:rPr>
          <w:b/>
          <w:bCs/>
        </w:rPr>
        <w:t>Date of the final hearing</w:t>
      </w:r>
    </w:p>
    <w:p w14:paraId="3D0BCE77" w14:textId="365789EE" w:rsidR="00E55E75" w:rsidRDefault="007D1E03" w:rsidP="00AC3440">
      <w:pPr>
        <w:pStyle w:val="Footer"/>
        <w:numPr>
          <w:ilvl w:val="0"/>
          <w:numId w:val="2"/>
        </w:numPr>
        <w:tabs>
          <w:tab w:val="clear" w:pos="4153"/>
          <w:tab w:val="clear" w:pos="8306"/>
          <w:tab w:val="left" w:pos="-720"/>
          <w:tab w:val="left" w:pos="-540"/>
        </w:tabs>
        <w:overflowPunct/>
        <w:autoSpaceDE/>
        <w:spacing w:after="120"/>
        <w:jc w:val="left"/>
        <w:textAlignment w:val="auto"/>
      </w:pPr>
      <w:r>
        <w:rPr>
          <w:rFonts w:cs="Arial"/>
          <w:i w:val="0"/>
          <w:sz w:val="24"/>
          <w:szCs w:val="22"/>
        </w:rPr>
        <w:t xml:space="preserve">By [three weeks] the applicant and each objector must provide the </w:t>
      </w:r>
      <w:r w:rsidR="00C07CD3">
        <w:rPr>
          <w:rFonts w:cs="Arial"/>
          <w:i w:val="0"/>
          <w:sz w:val="24"/>
          <w:szCs w:val="22"/>
        </w:rPr>
        <w:t>t</w:t>
      </w:r>
      <w:r>
        <w:rPr>
          <w:rFonts w:cs="Arial"/>
          <w:i w:val="0"/>
          <w:sz w:val="24"/>
          <w:szCs w:val="22"/>
        </w:rPr>
        <w:t>ribunal with details of any dates during the period from [</w:t>
      </w:r>
      <w:r>
        <w:rPr>
          <w:rFonts w:cs="Arial"/>
          <w:b/>
          <w:sz w:val="24"/>
          <w:szCs w:val="22"/>
        </w:rPr>
        <w:t>a period of three months beginning three months after paragraph 4</w:t>
      </w:r>
      <w:r>
        <w:rPr>
          <w:rFonts w:cs="Arial"/>
          <w:i w:val="0"/>
          <w:sz w:val="24"/>
          <w:szCs w:val="22"/>
        </w:rPr>
        <w:t xml:space="preserve">] which the </w:t>
      </w:r>
      <w:r w:rsidR="00C07CD3">
        <w:rPr>
          <w:rFonts w:cs="Arial"/>
          <w:i w:val="0"/>
          <w:sz w:val="24"/>
          <w:szCs w:val="22"/>
        </w:rPr>
        <w:t>t</w:t>
      </w:r>
      <w:r>
        <w:rPr>
          <w:rFonts w:cs="Arial"/>
          <w:i w:val="0"/>
          <w:sz w:val="24"/>
          <w:szCs w:val="22"/>
        </w:rPr>
        <w:t>ribunal should avoid when listing the application for a final hearing.</w:t>
      </w:r>
    </w:p>
    <w:p w14:paraId="08FC85BF" w14:textId="65CB9FF1" w:rsidR="00E55E75" w:rsidRDefault="007D1E03" w:rsidP="00AC3440">
      <w:pPr>
        <w:pStyle w:val="Footer"/>
        <w:numPr>
          <w:ilvl w:val="0"/>
          <w:numId w:val="2"/>
        </w:numPr>
        <w:tabs>
          <w:tab w:val="clear" w:pos="4153"/>
          <w:tab w:val="clear" w:pos="8306"/>
          <w:tab w:val="left" w:pos="-720"/>
          <w:tab w:val="left" w:pos="-540"/>
        </w:tabs>
        <w:overflowPunct/>
        <w:autoSpaceDE/>
        <w:spacing w:after="120"/>
        <w:jc w:val="left"/>
        <w:textAlignment w:val="auto"/>
      </w:pPr>
      <w:r>
        <w:rPr>
          <w:rFonts w:cs="Arial"/>
          <w:i w:val="0"/>
          <w:sz w:val="24"/>
          <w:szCs w:val="22"/>
        </w:rPr>
        <w:t xml:space="preserve">The final hearing is provisionally estimated to last not more than </w:t>
      </w:r>
      <w:r>
        <w:rPr>
          <w:rFonts w:cs="Arial"/>
          <w:b/>
          <w:sz w:val="24"/>
          <w:szCs w:val="22"/>
        </w:rPr>
        <w:t>two</w:t>
      </w:r>
      <w:r>
        <w:rPr>
          <w:rFonts w:cs="Arial"/>
          <w:i w:val="0"/>
          <w:sz w:val="24"/>
          <w:szCs w:val="22"/>
        </w:rPr>
        <w:t xml:space="preserve"> day</w:t>
      </w:r>
      <w:r>
        <w:rPr>
          <w:rFonts w:cs="Arial"/>
          <w:sz w:val="24"/>
          <w:szCs w:val="22"/>
        </w:rPr>
        <w:t>s</w:t>
      </w:r>
      <w:r>
        <w:rPr>
          <w:rFonts w:cs="Arial"/>
          <w:i w:val="0"/>
          <w:sz w:val="24"/>
          <w:szCs w:val="22"/>
        </w:rPr>
        <w:t xml:space="preserve"> (including the time required by the </w:t>
      </w:r>
      <w:r w:rsidR="00C07CD3">
        <w:rPr>
          <w:rFonts w:cs="Arial"/>
          <w:i w:val="0"/>
          <w:sz w:val="24"/>
          <w:szCs w:val="22"/>
        </w:rPr>
        <w:t>t</w:t>
      </w:r>
      <w:r>
        <w:rPr>
          <w:rFonts w:cs="Arial"/>
          <w:i w:val="0"/>
          <w:sz w:val="24"/>
          <w:szCs w:val="22"/>
        </w:rPr>
        <w:t>ribunal to conduct a site visit).</w:t>
      </w:r>
      <w:r w:rsidR="00C07CD3">
        <w:rPr>
          <w:rFonts w:cs="Arial"/>
          <w:i w:val="0"/>
          <w:sz w:val="24"/>
          <w:szCs w:val="22"/>
        </w:rPr>
        <w:t xml:space="preserve"> </w:t>
      </w:r>
      <w:r>
        <w:rPr>
          <w:rFonts w:cs="Arial"/>
          <w:i w:val="0"/>
          <w:sz w:val="24"/>
          <w:szCs w:val="22"/>
        </w:rPr>
        <w:t xml:space="preserve">If any party considers that more time should be </w:t>
      </w:r>
      <w:proofErr w:type="gramStart"/>
      <w:r>
        <w:rPr>
          <w:rFonts w:cs="Arial"/>
          <w:i w:val="0"/>
          <w:sz w:val="24"/>
          <w:szCs w:val="22"/>
        </w:rPr>
        <w:t>allowed</w:t>
      </w:r>
      <w:proofErr w:type="gramEnd"/>
      <w:r>
        <w:rPr>
          <w:rFonts w:cs="Arial"/>
          <w:i w:val="0"/>
          <w:sz w:val="24"/>
          <w:szCs w:val="22"/>
        </w:rPr>
        <w:t xml:space="preserve"> they should inform the </w:t>
      </w:r>
      <w:r w:rsidR="00C07CD3">
        <w:rPr>
          <w:rFonts w:cs="Arial"/>
          <w:i w:val="0"/>
          <w:sz w:val="24"/>
          <w:szCs w:val="22"/>
        </w:rPr>
        <w:t>t</w:t>
      </w:r>
      <w:r>
        <w:rPr>
          <w:rFonts w:cs="Arial"/>
          <w:i w:val="0"/>
          <w:sz w:val="24"/>
          <w:szCs w:val="22"/>
        </w:rPr>
        <w:t>ribunal and explain why.</w:t>
      </w:r>
    </w:p>
    <w:p w14:paraId="5AA3B40C" w14:textId="77777777" w:rsidR="00E55E75" w:rsidRDefault="00E55E75" w:rsidP="00AC3440">
      <w:pPr>
        <w:pStyle w:val="Footer"/>
        <w:tabs>
          <w:tab w:val="clear" w:pos="4153"/>
          <w:tab w:val="clear" w:pos="8306"/>
          <w:tab w:val="left" w:pos="0"/>
          <w:tab w:val="left" w:pos="180"/>
        </w:tabs>
        <w:overflowPunct/>
        <w:autoSpaceDE/>
        <w:spacing w:after="120"/>
        <w:ind w:left="720"/>
        <w:jc w:val="left"/>
        <w:textAlignment w:val="auto"/>
        <w:rPr>
          <w:rFonts w:cs="Arial"/>
          <w:i w:val="0"/>
          <w:sz w:val="24"/>
          <w:szCs w:val="22"/>
        </w:rPr>
      </w:pPr>
    </w:p>
    <w:p w14:paraId="553F0B06" w14:textId="032FD555" w:rsidR="00E55E75" w:rsidRDefault="007D1E03" w:rsidP="00AC3440">
      <w:pPr>
        <w:pStyle w:val="Footer"/>
        <w:tabs>
          <w:tab w:val="clear" w:pos="4153"/>
          <w:tab w:val="clear" w:pos="8306"/>
          <w:tab w:val="left" w:pos="0"/>
          <w:tab w:val="left" w:pos="180"/>
        </w:tabs>
        <w:overflowPunct/>
        <w:autoSpaceDE/>
        <w:spacing w:after="240"/>
        <w:ind w:left="720"/>
        <w:jc w:val="left"/>
        <w:textAlignment w:val="auto"/>
      </w:pPr>
      <w:r>
        <w:rPr>
          <w:rFonts w:cs="Arial"/>
          <w:b/>
          <w:bCs/>
          <w:i w:val="0"/>
          <w:sz w:val="24"/>
          <w:szCs w:val="22"/>
        </w:rPr>
        <w:t xml:space="preserve">Filing documents with the </w:t>
      </w:r>
      <w:r w:rsidR="00C07CD3">
        <w:rPr>
          <w:rFonts w:cs="Arial"/>
          <w:b/>
          <w:bCs/>
          <w:i w:val="0"/>
          <w:sz w:val="24"/>
          <w:szCs w:val="22"/>
        </w:rPr>
        <w:t>t</w:t>
      </w:r>
      <w:r>
        <w:rPr>
          <w:rFonts w:cs="Arial"/>
          <w:b/>
          <w:bCs/>
          <w:i w:val="0"/>
          <w:sz w:val="24"/>
          <w:szCs w:val="22"/>
        </w:rPr>
        <w:t>ribunal</w:t>
      </w:r>
    </w:p>
    <w:p w14:paraId="5AD9A25F" w14:textId="20B6C0A3" w:rsidR="00AC3440" w:rsidRDefault="007D1E03" w:rsidP="00F66C25">
      <w:pPr>
        <w:pStyle w:val="Footer"/>
        <w:numPr>
          <w:ilvl w:val="0"/>
          <w:numId w:val="2"/>
        </w:numPr>
        <w:tabs>
          <w:tab w:val="clear" w:pos="4153"/>
          <w:tab w:val="clear" w:pos="8306"/>
          <w:tab w:val="left" w:pos="-720"/>
          <w:tab w:val="left" w:pos="-540"/>
        </w:tabs>
        <w:overflowPunct/>
        <w:autoSpaceDE/>
        <w:spacing w:after="120"/>
        <w:jc w:val="left"/>
        <w:textAlignment w:val="auto"/>
      </w:pPr>
      <w:r>
        <w:rPr>
          <w:rFonts w:cs="Arial"/>
          <w:i w:val="0"/>
          <w:sz w:val="24"/>
          <w:szCs w:val="22"/>
        </w:rPr>
        <w:t xml:space="preserve">Professional representatives must make use of the </w:t>
      </w:r>
      <w:r w:rsidR="00C07CD3">
        <w:rPr>
          <w:rFonts w:cs="Arial"/>
          <w:i w:val="0"/>
          <w:sz w:val="24"/>
          <w:szCs w:val="22"/>
        </w:rPr>
        <w:t>t</w:t>
      </w:r>
      <w:r>
        <w:rPr>
          <w:rFonts w:cs="Arial"/>
          <w:i w:val="0"/>
          <w:sz w:val="24"/>
          <w:szCs w:val="22"/>
        </w:rPr>
        <w:t xml:space="preserve">ribunal’s </w:t>
      </w:r>
      <w:r w:rsidR="002201C0">
        <w:rPr>
          <w:rFonts w:cs="Arial"/>
          <w:i w:val="0"/>
          <w:sz w:val="24"/>
          <w:szCs w:val="22"/>
        </w:rPr>
        <w:t>E-Filing service</w:t>
      </w:r>
      <w:r>
        <w:rPr>
          <w:rFonts w:cs="Arial"/>
          <w:i w:val="0"/>
          <w:sz w:val="24"/>
          <w:szCs w:val="22"/>
        </w:rPr>
        <w:t xml:space="preserve"> when filing documents with the </w:t>
      </w:r>
      <w:r w:rsidR="00C07CD3">
        <w:rPr>
          <w:rFonts w:cs="Arial"/>
          <w:i w:val="0"/>
          <w:sz w:val="24"/>
          <w:szCs w:val="22"/>
        </w:rPr>
        <w:t>t</w:t>
      </w:r>
      <w:r>
        <w:rPr>
          <w:rFonts w:cs="Arial"/>
          <w:i w:val="0"/>
          <w:sz w:val="24"/>
          <w:szCs w:val="22"/>
        </w:rPr>
        <w:t xml:space="preserve">ribunal. Unrepresented parties are also encouraged to do so, but they may communicate by email if they prefer. Further information and guidance about the operation of </w:t>
      </w:r>
      <w:r w:rsidR="002201C0">
        <w:rPr>
          <w:rFonts w:cs="Arial"/>
          <w:i w:val="0"/>
          <w:sz w:val="24"/>
          <w:szCs w:val="22"/>
        </w:rPr>
        <w:t>the E-Filing service</w:t>
      </w:r>
      <w:r>
        <w:rPr>
          <w:rFonts w:cs="Arial"/>
          <w:i w:val="0"/>
          <w:sz w:val="24"/>
          <w:szCs w:val="22"/>
        </w:rPr>
        <w:t xml:space="preserve"> </w:t>
      </w:r>
      <w:r>
        <w:rPr>
          <w:rFonts w:cs="Arial"/>
          <w:i w:val="0"/>
          <w:sz w:val="24"/>
          <w:szCs w:val="22"/>
        </w:rPr>
        <w:lastRenderedPageBreak/>
        <w:t>can be found at:</w:t>
      </w:r>
      <w:r w:rsidR="00F66C25">
        <w:rPr>
          <w:rFonts w:cs="Arial"/>
          <w:i w:val="0"/>
          <w:sz w:val="24"/>
          <w:szCs w:val="22"/>
        </w:rPr>
        <w:t xml:space="preserve"> </w:t>
      </w:r>
      <w:hyperlink r:id="rId8" w:history="1">
        <w:r w:rsidR="00F66C25" w:rsidRPr="0032580B">
          <w:rPr>
            <w:rStyle w:val="Hyperlink"/>
            <w:rFonts w:cs="Arial"/>
            <w:i w:val="0"/>
            <w:sz w:val="24"/>
            <w:szCs w:val="22"/>
          </w:rPr>
          <w:t>https://www.gov.uk/guidance/hmcts-e-filing-service-for-citizens-and-professionals</w:t>
        </w:r>
      </w:hyperlink>
    </w:p>
    <w:p w14:paraId="75BF9055" w14:textId="77777777" w:rsidR="009C0B4D" w:rsidRDefault="009C0B4D" w:rsidP="00D829B7">
      <w:pPr>
        <w:pStyle w:val="Footer"/>
        <w:tabs>
          <w:tab w:val="clear" w:pos="4153"/>
          <w:tab w:val="clear" w:pos="8306"/>
          <w:tab w:val="left" w:pos="900"/>
        </w:tabs>
        <w:overflowPunct/>
        <w:autoSpaceDE/>
        <w:spacing w:after="240"/>
        <w:jc w:val="left"/>
        <w:textAlignment w:val="auto"/>
        <w:rPr>
          <w:rFonts w:cs="Arial"/>
          <w:b/>
          <w:i w:val="0"/>
          <w:sz w:val="24"/>
          <w:szCs w:val="22"/>
        </w:rPr>
      </w:pPr>
    </w:p>
    <w:p w14:paraId="26EEC2B7" w14:textId="55C15AA7" w:rsidR="00E55E75" w:rsidRDefault="007D1E03" w:rsidP="00AC3440">
      <w:pPr>
        <w:pStyle w:val="Footer"/>
        <w:tabs>
          <w:tab w:val="clear" w:pos="4153"/>
          <w:tab w:val="clear" w:pos="8306"/>
          <w:tab w:val="left" w:pos="900"/>
        </w:tabs>
        <w:overflowPunct/>
        <w:autoSpaceDE/>
        <w:spacing w:after="240"/>
        <w:ind w:left="720"/>
        <w:jc w:val="left"/>
        <w:textAlignment w:val="auto"/>
        <w:rPr>
          <w:rFonts w:cs="Arial"/>
          <w:b/>
          <w:i w:val="0"/>
          <w:sz w:val="24"/>
          <w:szCs w:val="22"/>
        </w:rPr>
      </w:pPr>
      <w:r>
        <w:rPr>
          <w:rFonts w:cs="Arial"/>
          <w:b/>
          <w:i w:val="0"/>
          <w:sz w:val="24"/>
          <w:szCs w:val="22"/>
        </w:rPr>
        <w:t>Evidence at the final hearing</w:t>
      </w:r>
    </w:p>
    <w:p w14:paraId="30B0B8D4" w14:textId="0A88565B" w:rsidR="00E55E75" w:rsidRDefault="007D1E03" w:rsidP="00AC3440">
      <w:pPr>
        <w:numPr>
          <w:ilvl w:val="0"/>
          <w:numId w:val="2"/>
        </w:numPr>
        <w:spacing w:after="120"/>
        <w:jc w:val="left"/>
      </w:pPr>
      <w:r>
        <w:rPr>
          <w:bCs/>
        </w:rPr>
        <w:t xml:space="preserve">The notices of objection filed by the objectors, including the grounds of objections which accompanied them, may stand as their evidence. If the applicant or any objector wishes to rely on any further factual evidence they may do so, provided it is contained in a witness statement filed with the </w:t>
      </w:r>
      <w:r w:rsidR="00C07CD3">
        <w:rPr>
          <w:bCs/>
        </w:rPr>
        <w:t>t</w:t>
      </w:r>
      <w:r>
        <w:rPr>
          <w:bCs/>
        </w:rPr>
        <w:t xml:space="preserve">ribunal and sent to the other parties or their solicitors by not later than </w:t>
      </w:r>
      <w:r>
        <w:rPr>
          <w:b/>
          <w:bCs/>
        </w:rPr>
        <w:t>[</w:t>
      </w:r>
      <w:r>
        <w:rPr>
          <w:b/>
          <w:bCs/>
          <w:i/>
        </w:rPr>
        <w:t>two months</w:t>
      </w:r>
      <w:r>
        <w:rPr>
          <w:b/>
          <w:bCs/>
        </w:rPr>
        <w:t>]</w:t>
      </w:r>
      <w:r>
        <w:rPr>
          <w:bCs/>
        </w:rPr>
        <w:t>. Each witness statement must include the words “I believe that the facts stated in this witness statement are true” and must be signed by the person making the statement.</w:t>
      </w:r>
    </w:p>
    <w:p w14:paraId="06AF6866" w14:textId="2B65A9D1" w:rsidR="00E55E75" w:rsidRDefault="007D1E03" w:rsidP="00AC3440">
      <w:pPr>
        <w:numPr>
          <w:ilvl w:val="0"/>
          <w:numId w:val="2"/>
        </w:numPr>
        <w:spacing w:after="120"/>
        <w:jc w:val="left"/>
      </w:pPr>
      <w:r>
        <w:rPr>
          <w:bCs/>
        </w:rPr>
        <w:t xml:space="preserve">If they wish to do so the applicant and the objectors (collectively) may also rely on the evidence of one expert witness, provided a copy of the expert’s report has been filed with the </w:t>
      </w:r>
      <w:r w:rsidR="00C07CD3">
        <w:rPr>
          <w:bCs/>
        </w:rPr>
        <w:t>t</w:t>
      </w:r>
      <w:r>
        <w:rPr>
          <w:bCs/>
        </w:rPr>
        <w:t xml:space="preserve">ribunal and sent to the other parties by not later than </w:t>
      </w:r>
      <w:r>
        <w:rPr>
          <w:b/>
          <w:bCs/>
        </w:rPr>
        <w:t>[</w:t>
      </w:r>
      <w:r>
        <w:rPr>
          <w:b/>
          <w:bCs/>
          <w:i/>
        </w:rPr>
        <w:t>four months</w:t>
      </w:r>
      <w:r>
        <w:rPr>
          <w:b/>
          <w:bCs/>
        </w:rPr>
        <w:t>]</w:t>
      </w:r>
      <w:r>
        <w:rPr>
          <w:bCs/>
        </w:rPr>
        <w:t xml:space="preserve">. An expert’s report must comply with paragraph 19.14 to 19.18 of the </w:t>
      </w:r>
      <w:r w:rsidR="00C07CD3">
        <w:rPr>
          <w:bCs/>
        </w:rPr>
        <w:t>t</w:t>
      </w:r>
      <w:r>
        <w:rPr>
          <w:bCs/>
        </w:rPr>
        <w:t>ribunal’s Practice Directions (2024 edition).</w:t>
      </w:r>
    </w:p>
    <w:p w14:paraId="1244BA32" w14:textId="581FEE82" w:rsidR="00E55E75" w:rsidRDefault="007D1E03" w:rsidP="00AC3440">
      <w:pPr>
        <w:numPr>
          <w:ilvl w:val="0"/>
          <w:numId w:val="2"/>
        </w:numPr>
        <w:spacing w:after="120"/>
        <w:jc w:val="left"/>
      </w:pPr>
      <w:r>
        <w:rPr>
          <w:bCs/>
        </w:rPr>
        <w:t>If compensation is claimed by any objector, or if it is said that the value of any property would be diminished if the application is successful,</w:t>
      </w:r>
      <w:r>
        <w:t xml:space="preserve"> </w:t>
      </w:r>
      <w:r>
        <w:rPr>
          <w:bCs/>
        </w:rPr>
        <w:t xml:space="preserve">the </w:t>
      </w:r>
      <w:r w:rsidR="00C07CD3">
        <w:rPr>
          <w:bCs/>
        </w:rPr>
        <w:t>t</w:t>
      </w:r>
      <w:r>
        <w:rPr>
          <w:bCs/>
        </w:rPr>
        <w:t>ribunal is likely to be assisted by evidence of the current value of the properties affected by the proposed modification or discharge of the restriction.</w:t>
      </w:r>
    </w:p>
    <w:p w14:paraId="71A7B8EC" w14:textId="1BC353DB" w:rsidR="00E55E75" w:rsidRDefault="007D1E03" w:rsidP="00AC3440">
      <w:pPr>
        <w:numPr>
          <w:ilvl w:val="0"/>
          <w:numId w:val="2"/>
        </w:numPr>
        <w:spacing w:after="120"/>
        <w:jc w:val="left"/>
      </w:pPr>
      <w:r>
        <w:rPr>
          <w:bCs/>
        </w:rPr>
        <w:t xml:space="preserve">All parties must inform the </w:t>
      </w:r>
      <w:r w:rsidR="00C07CD3">
        <w:rPr>
          <w:bCs/>
        </w:rPr>
        <w:t>t</w:t>
      </w:r>
      <w:r>
        <w:rPr>
          <w:bCs/>
        </w:rPr>
        <w:t>ribunal and the other parties by</w:t>
      </w:r>
      <w:r>
        <w:rPr>
          <w:b/>
          <w:bCs/>
        </w:rPr>
        <w:t xml:space="preserve"> [</w:t>
      </w:r>
      <w:r>
        <w:rPr>
          <w:b/>
          <w:bCs/>
          <w:i/>
        </w:rPr>
        <w:t>two months</w:t>
      </w:r>
      <w:r>
        <w:rPr>
          <w:b/>
          <w:bCs/>
        </w:rPr>
        <w:t xml:space="preserve">] </w:t>
      </w:r>
      <w:r>
        <w:rPr>
          <w:bCs/>
        </w:rPr>
        <w:t>if they intend to rely on the evidence of an expert witness.</w:t>
      </w:r>
    </w:p>
    <w:p w14:paraId="4A6E2EBE" w14:textId="77777777" w:rsidR="00E55E75" w:rsidRDefault="007D1E03" w:rsidP="00AC3440">
      <w:pPr>
        <w:numPr>
          <w:ilvl w:val="0"/>
          <w:numId w:val="2"/>
        </w:numPr>
        <w:spacing w:after="120"/>
        <w:jc w:val="left"/>
        <w:rPr>
          <w:bCs/>
        </w:rPr>
      </w:pPr>
      <w:r>
        <w:rPr>
          <w:bCs/>
        </w:rPr>
        <w:t xml:space="preserve">All parties must allow an expert appointed by the other party to have reasonable access to their own land for the purpose of preparing their evidence. </w:t>
      </w:r>
    </w:p>
    <w:p w14:paraId="0004165B" w14:textId="77777777" w:rsidR="00E55E75" w:rsidRDefault="007D1E03" w:rsidP="00AC3440">
      <w:pPr>
        <w:numPr>
          <w:ilvl w:val="0"/>
          <w:numId w:val="2"/>
        </w:numPr>
        <w:spacing w:after="120"/>
        <w:jc w:val="left"/>
        <w:rPr>
          <w:bCs/>
        </w:rPr>
      </w:pPr>
      <w:r>
        <w:rPr>
          <w:bCs/>
        </w:rPr>
        <w:t>If the applicant and the objectors each instruct an expert witness the following additional directions will apply:</w:t>
      </w:r>
    </w:p>
    <w:p w14:paraId="37DA40AE" w14:textId="3C93CA64" w:rsidR="00E55E75" w:rsidRDefault="007D1E03" w:rsidP="00AC3440">
      <w:pPr>
        <w:numPr>
          <w:ilvl w:val="1"/>
          <w:numId w:val="2"/>
        </w:numPr>
        <w:spacing w:after="120"/>
        <w:jc w:val="left"/>
        <w:rPr>
          <w:bCs/>
        </w:rPr>
      </w:pPr>
      <w:r>
        <w:rPr>
          <w:bCs/>
        </w:rPr>
        <w:t>Before preparing their reports the experts should undertake a joint inspection of the application land and any relevant land belonging to the objectors; during or after their inspection they should agree a photographic record of relevant views of the application land and the land of any objectors, discuss the application on a without prejudice basis, identify the issues which are likely to arise, and agree such matters of fact or opinion as they can agree at that stage.</w:t>
      </w:r>
    </w:p>
    <w:p w14:paraId="4AF01FB7" w14:textId="77777777" w:rsidR="00E55E75" w:rsidRDefault="007D1E03" w:rsidP="00AC3440">
      <w:pPr>
        <w:numPr>
          <w:ilvl w:val="1"/>
          <w:numId w:val="2"/>
        </w:numPr>
        <w:spacing w:after="120"/>
        <w:jc w:val="left"/>
        <w:rPr>
          <w:bCs/>
        </w:rPr>
      </w:pPr>
      <w:r>
        <w:rPr>
          <w:bCs/>
        </w:rPr>
        <w:t xml:space="preserve">After exchanging </w:t>
      </w:r>
      <w:proofErr w:type="gramStart"/>
      <w:r>
        <w:rPr>
          <w:bCs/>
        </w:rPr>
        <w:t>reports</w:t>
      </w:r>
      <w:proofErr w:type="gramEnd"/>
      <w:r>
        <w:rPr>
          <w:bCs/>
        </w:rPr>
        <w:t xml:space="preserve"> the experts shall communicate with each other again to narrow the issues between them.</w:t>
      </w:r>
    </w:p>
    <w:p w14:paraId="78FD8246" w14:textId="2999CB36" w:rsidR="00E55E75" w:rsidRDefault="007D1E03" w:rsidP="00AC3440">
      <w:pPr>
        <w:numPr>
          <w:ilvl w:val="1"/>
          <w:numId w:val="2"/>
        </w:numPr>
        <w:spacing w:after="120"/>
        <w:jc w:val="left"/>
      </w:pPr>
      <w:r>
        <w:rPr>
          <w:bCs/>
        </w:rPr>
        <w:t xml:space="preserve">The experts must </w:t>
      </w:r>
      <w:r>
        <w:t xml:space="preserve">prepare a joint statement recording the principal issues on which they agree and disagree and concisely summarising the reasons for their disagreement, which they shall file with the </w:t>
      </w:r>
      <w:r w:rsidR="00C07CD3">
        <w:t>t</w:t>
      </w:r>
      <w:r>
        <w:t xml:space="preserve">ribunal and provide to the parties at least </w:t>
      </w:r>
      <w:r>
        <w:rPr>
          <w:b/>
        </w:rPr>
        <w:t>two weeks</w:t>
      </w:r>
      <w:r>
        <w:t xml:space="preserve"> before the date fixed for the final hearing. </w:t>
      </w:r>
    </w:p>
    <w:p w14:paraId="307BAC9E" w14:textId="77777777" w:rsidR="00E55E75" w:rsidRDefault="00E55E75" w:rsidP="00AC3440">
      <w:pPr>
        <w:tabs>
          <w:tab w:val="left" w:pos="962"/>
        </w:tabs>
        <w:spacing w:after="240"/>
        <w:ind w:left="720"/>
        <w:jc w:val="left"/>
        <w:rPr>
          <w:bCs/>
        </w:rPr>
      </w:pPr>
    </w:p>
    <w:p w14:paraId="139A068A" w14:textId="77777777" w:rsidR="00E55E75" w:rsidRDefault="007D1E03" w:rsidP="00AC3440">
      <w:pPr>
        <w:tabs>
          <w:tab w:val="left" w:pos="962"/>
        </w:tabs>
        <w:spacing w:after="240"/>
        <w:ind w:left="720"/>
        <w:jc w:val="left"/>
        <w:rPr>
          <w:b/>
          <w:bCs/>
        </w:rPr>
      </w:pPr>
      <w:r>
        <w:rPr>
          <w:b/>
          <w:bCs/>
        </w:rPr>
        <w:t>Preparation for the final hearing</w:t>
      </w:r>
    </w:p>
    <w:p w14:paraId="16F98725" w14:textId="34704916" w:rsidR="00E55E75" w:rsidRDefault="007D1E03" w:rsidP="00AC3440">
      <w:pPr>
        <w:numPr>
          <w:ilvl w:val="0"/>
          <w:numId w:val="2"/>
        </w:numPr>
        <w:tabs>
          <w:tab w:val="left" w:pos="-720"/>
          <w:tab w:val="left" w:pos="-478"/>
        </w:tabs>
        <w:spacing w:after="120"/>
        <w:jc w:val="left"/>
      </w:pPr>
      <w:r>
        <w:rPr>
          <w:szCs w:val="24"/>
        </w:rPr>
        <w:lastRenderedPageBreak/>
        <w:t xml:space="preserve">The parties must agree which documents the </w:t>
      </w:r>
      <w:r w:rsidR="00C07CD3">
        <w:rPr>
          <w:szCs w:val="24"/>
        </w:rPr>
        <w:t>t</w:t>
      </w:r>
      <w:r>
        <w:rPr>
          <w:szCs w:val="24"/>
        </w:rPr>
        <w:t xml:space="preserve">ribunal will use at the final hearing (referred to as the hearing bundle). </w:t>
      </w:r>
    </w:p>
    <w:p w14:paraId="7DC253F4" w14:textId="2151B729" w:rsidR="00E55E75" w:rsidRDefault="007D1E03" w:rsidP="00AC3440">
      <w:pPr>
        <w:numPr>
          <w:ilvl w:val="0"/>
          <w:numId w:val="2"/>
        </w:numPr>
        <w:tabs>
          <w:tab w:val="left" w:pos="-720"/>
          <w:tab w:val="left" w:pos="-478"/>
        </w:tabs>
        <w:spacing w:after="120"/>
        <w:jc w:val="left"/>
      </w:pPr>
      <w:r>
        <w:rPr>
          <w:szCs w:val="24"/>
        </w:rPr>
        <w:t xml:space="preserve">The applicants must send a draft index of the proposed hearing bundle to the objectors or their representative not later than </w:t>
      </w:r>
      <w:r>
        <w:rPr>
          <w:b/>
          <w:szCs w:val="24"/>
        </w:rPr>
        <w:t>six weeks</w:t>
      </w:r>
      <w:r>
        <w:rPr>
          <w:szCs w:val="24"/>
        </w:rPr>
        <w:t xml:space="preserve"> before the date fixed for the hearing. </w:t>
      </w:r>
      <w:r w:rsidR="00C07CD3">
        <w:rPr>
          <w:szCs w:val="24"/>
        </w:rPr>
        <w:t>T</w:t>
      </w:r>
      <w:r>
        <w:rPr>
          <w:szCs w:val="24"/>
        </w:rPr>
        <w:t xml:space="preserve">he hearing bundle should contain a single copy of any document to which any party wishes the </w:t>
      </w:r>
      <w:r w:rsidR="00C07CD3">
        <w:rPr>
          <w:szCs w:val="24"/>
        </w:rPr>
        <w:t>t</w:t>
      </w:r>
      <w:r>
        <w:rPr>
          <w:szCs w:val="24"/>
        </w:rPr>
        <w:t>ribunal to refer.</w:t>
      </w:r>
    </w:p>
    <w:p w14:paraId="231BBCB7" w14:textId="43A3310C" w:rsidR="00E55E75" w:rsidRDefault="007D1E03" w:rsidP="00AC3440">
      <w:pPr>
        <w:numPr>
          <w:ilvl w:val="0"/>
          <w:numId w:val="2"/>
        </w:numPr>
        <w:tabs>
          <w:tab w:val="left" w:pos="-720"/>
          <w:tab w:val="left" w:pos="-478"/>
        </w:tabs>
        <w:spacing w:after="120"/>
        <w:jc w:val="left"/>
      </w:pPr>
      <w:r>
        <w:rPr>
          <w:szCs w:val="24"/>
        </w:rPr>
        <w:t xml:space="preserve">The applicants must file two hard copies of the hearing bundle (which must be included in a robust file, </w:t>
      </w:r>
      <w:proofErr w:type="gramStart"/>
      <w:r>
        <w:rPr>
          <w:rFonts w:cs="Arial"/>
        </w:rPr>
        <w:t>paginated</w:t>
      </w:r>
      <w:proofErr w:type="gramEnd"/>
      <w:r>
        <w:rPr>
          <w:rFonts w:cs="Arial"/>
        </w:rPr>
        <w:t xml:space="preserve"> and indexed) </w:t>
      </w:r>
      <w:r>
        <w:rPr>
          <w:szCs w:val="24"/>
        </w:rPr>
        <w:t xml:space="preserve">for the use of the </w:t>
      </w:r>
      <w:r w:rsidR="00C07CD3">
        <w:rPr>
          <w:szCs w:val="24"/>
        </w:rPr>
        <w:t>t</w:t>
      </w:r>
      <w:r>
        <w:rPr>
          <w:szCs w:val="24"/>
        </w:rPr>
        <w:t xml:space="preserve">ribunal not later than </w:t>
      </w:r>
      <w:r>
        <w:rPr>
          <w:b/>
        </w:rPr>
        <w:t>two weeks</w:t>
      </w:r>
      <w:r>
        <w:t xml:space="preserve"> before the date fixed for the hearing</w:t>
      </w:r>
      <w:r>
        <w:rPr>
          <w:szCs w:val="24"/>
        </w:rPr>
        <w:t>.</w:t>
      </w:r>
    </w:p>
    <w:p w14:paraId="7A2382BB" w14:textId="7510F020" w:rsidR="00E55E75" w:rsidRDefault="007D1E03" w:rsidP="00AC3440">
      <w:pPr>
        <w:numPr>
          <w:ilvl w:val="0"/>
          <w:numId w:val="2"/>
        </w:numPr>
        <w:tabs>
          <w:tab w:val="left" w:pos="-720"/>
          <w:tab w:val="left" w:pos="-478"/>
        </w:tabs>
        <w:spacing w:after="120"/>
        <w:jc w:val="left"/>
      </w:pPr>
      <w:r>
        <w:rPr>
          <w:szCs w:val="24"/>
        </w:rPr>
        <w:t xml:space="preserve">If the parties also wish to prepare an electronic version of the hearing bundle (in addition to the hard copy) for use at the hearing they may do so, provided it is made available to all participants and to the </w:t>
      </w:r>
      <w:r w:rsidR="00C07CD3">
        <w:rPr>
          <w:szCs w:val="24"/>
        </w:rPr>
        <w:t>t</w:t>
      </w:r>
      <w:r>
        <w:rPr>
          <w:szCs w:val="24"/>
        </w:rPr>
        <w:t xml:space="preserve">ribunal. Electronic bundles </w:t>
      </w:r>
      <w:r>
        <w:rPr>
          <w:bCs/>
          <w:szCs w:val="24"/>
        </w:rPr>
        <w:t xml:space="preserve">must comply with paragraph 20.13 of the </w:t>
      </w:r>
      <w:r w:rsidR="00C07CD3">
        <w:rPr>
          <w:bCs/>
          <w:szCs w:val="24"/>
        </w:rPr>
        <w:t>t</w:t>
      </w:r>
      <w:r>
        <w:rPr>
          <w:bCs/>
          <w:szCs w:val="24"/>
        </w:rPr>
        <w:t>ribunal’s Practice Directions (2024 edition).</w:t>
      </w:r>
    </w:p>
    <w:p w14:paraId="3F5B405C" w14:textId="3EC41AF2" w:rsidR="00E55E75" w:rsidRDefault="007D1E03" w:rsidP="00AC3440">
      <w:pPr>
        <w:numPr>
          <w:ilvl w:val="0"/>
          <w:numId w:val="2"/>
        </w:numPr>
        <w:tabs>
          <w:tab w:val="left" w:pos="-720"/>
          <w:tab w:val="left" w:pos="-478"/>
        </w:tabs>
        <w:spacing w:after="120"/>
        <w:jc w:val="left"/>
      </w:pPr>
      <w:r>
        <w:rPr>
          <w:szCs w:val="24"/>
        </w:rPr>
        <w:t xml:space="preserve">Not later than </w:t>
      </w:r>
      <w:r>
        <w:rPr>
          <w:b/>
        </w:rPr>
        <w:t>two weeks</w:t>
      </w:r>
      <w:r>
        <w:t xml:space="preserve"> before the date fixed for the hearing t</w:t>
      </w:r>
      <w:r>
        <w:rPr>
          <w:szCs w:val="24"/>
        </w:rPr>
        <w:t>he applicants must deliver as many copies of the hearing bundle to the objectors as they may request. The applicants’ solicitors are not required to provide more than one copy of the bundle unless the objectors have first agreed to pay the reasonable cost of additional copies. The applicants’ solicitors must also provide an index to the hearing bundle (without charge) to each objector who does not wish to receive a copy of the hearing bundle itself.</w:t>
      </w:r>
    </w:p>
    <w:p w14:paraId="2AC0F026" w14:textId="5230977D" w:rsidR="00E55E75" w:rsidRDefault="007D1E03" w:rsidP="00AC3440">
      <w:pPr>
        <w:numPr>
          <w:ilvl w:val="0"/>
          <w:numId w:val="2"/>
        </w:numPr>
        <w:tabs>
          <w:tab w:val="left" w:pos="-720"/>
          <w:tab w:val="left" w:pos="-478"/>
        </w:tabs>
        <w:spacing w:after="120"/>
        <w:jc w:val="left"/>
      </w:pPr>
      <w:r>
        <w:rPr>
          <w:bCs/>
        </w:rPr>
        <w:t xml:space="preserve">A represented party must, and an unrepresented party may, file and exchange a skeleton argument not later than </w:t>
      </w:r>
      <w:r>
        <w:rPr>
          <w:b/>
          <w:bCs/>
        </w:rPr>
        <w:t>seven days</w:t>
      </w:r>
      <w:r>
        <w:rPr>
          <w:bCs/>
        </w:rPr>
        <w:t xml:space="preserve"> before the date fixed for the hearing.</w:t>
      </w:r>
      <w:r>
        <w:rPr>
          <w:rFonts w:eastAsia="Arial" w:cs="Arial"/>
          <w:sz w:val="22"/>
          <w:szCs w:val="22"/>
          <w:lang w:eastAsia="en-GB"/>
        </w:rPr>
        <w:t xml:space="preserve"> </w:t>
      </w:r>
      <w:r>
        <w:rPr>
          <w:bCs/>
        </w:rPr>
        <w:t xml:space="preserve">Skeleton arguments must comply with paragraphs 20.13 to 20.17 of the </w:t>
      </w:r>
      <w:r w:rsidR="00C07CD3">
        <w:rPr>
          <w:bCs/>
        </w:rPr>
        <w:t>t</w:t>
      </w:r>
      <w:r>
        <w:rPr>
          <w:bCs/>
        </w:rPr>
        <w:t>ribunal’s Practice Directions.</w:t>
      </w:r>
    </w:p>
    <w:p w14:paraId="46C9BCC4" w14:textId="27110759" w:rsidR="00E55E75" w:rsidRDefault="007D1E03" w:rsidP="00AC3440">
      <w:pPr>
        <w:numPr>
          <w:ilvl w:val="0"/>
          <w:numId w:val="2"/>
        </w:numPr>
        <w:tabs>
          <w:tab w:val="left" w:pos="-720"/>
          <w:tab w:val="left" w:pos="-478"/>
        </w:tabs>
        <w:spacing w:after="120"/>
        <w:jc w:val="left"/>
        <w:rPr>
          <w:bCs/>
        </w:rPr>
      </w:pPr>
      <w:r>
        <w:rPr>
          <w:bCs/>
        </w:rPr>
        <w:t>The parties may apply for further directions if required.</w:t>
      </w:r>
    </w:p>
    <w:p w14:paraId="445B98AC" w14:textId="77777777" w:rsidR="00E55E75" w:rsidRDefault="00E55E75">
      <w:pPr>
        <w:tabs>
          <w:tab w:val="left" w:pos="1729"/>
          <w:tab w:val="left" w:pos="2591"/>
          <w:tab w:val="left" w:pos="3459"/>
        </w:tabs>
        <w:spacing w:after="120" w:line="360" w:lineRule="auto"/>
        <w:ind w:left="100"/>
        <w:outlineLvl w:val="0"/>
        <w:rPr>
          <w:bCs/>
        </w:rPr>
      </w:pPr>
    </w:p>
    <w:p w14:paraId="08FCE6CA" w14:textId="77777777" w:rsidR="00E55E75" w:rsidRDefault="007D1E03">
      <w:pPr>
        <w:tabs>
          <w:tab w:val="left" w:pos="1729"/>
          <w:tab w:val="left" w:pos="2591"/>
          <w:tab w:val="left" w:pos="3459"/>
        </w:tabs>
        <w:outlineLvl w:val="0"/>
      </w:pPr>
      <w:r>
        <w:tab/>
      </w:r>
      <w:r>
        <w:tab/>
      </w:r>
      <w:r>
        <w:tab/>
      </w:r>
      <w:r>
        <w:tab/>
      </w:r>
      <w:r>
        <w:tab/>
      </w:r>
      <w:r>
        <w:tab/>
      </w:r>
      <w:r>
        <w:tab/>
      </w:r>
      <w:r>
        <w:tab/>
        <w:t>…..</w:t>
      </w:r>
    </w:p>
    <w:p w14:paraId="692E80DD" w14:textId="77777777" w:rsidR="00E55E75" w:rsidRDefault="007D1E03">
      <w:pPr>
        <w:tabs>
          <w:tab w:val="left" w:pos="1729"/>
          <w:tab w:val="left" w:pos="2591"/>
          <w:tab w:val="left" w:pos="3459"/>
        </w:tabs>
        <w:outlineLvl w:val="0"/>
      </w:pPr>
      <w:r>
        <w:tab/>
      </w:r>
      <w:r>
        <w:tab/>
      </w:r>
      <w:r>
        <w:tab/>
      </w:r>
      <w:r>
        <w:tab/>
      </w:r>
      <w:r>
        <w:tab/>
      </w:r>
      <w:r>
        <w:tab/>
      </w:r>
      <w:r>
        <w:tab/>
      </w:r>
      <w:r>
        <w:tab/>
      </w:r>
    </w:p>
    <w:p w14:paraId="381281F1" w14:textId="77777777" w:rsidR="00E55E75" w:rsidRDefault="007D1E03">
      <w:pPr>
        <w:tabs>
          <w:tab w:val="left" w:pos="1729"/>
          <w:tab w:val="left" w:pos="2591"/>
          <w:tab w:val="left" w:pos="3459"/>
        </w:tabs>
        <w:spacing w:line="360" w:lineRule="auto"/>
        <w:outlineLvl w:val="0"/>
      </w:pPr>
      <w:r>
        <w:tab/>
      </w:r>
      <w:r>
        <w:tab/>
      </w:r>
      <w:r>
        <w:tab/>
      </w:r>
      <w:r>
        <w:tab/>
      </w:r>
      <w:r>
        <w:tab/>
      </w:r>
      <w:r>
        <w:tab/>
      </w:r>
      <w:r>
        <w:tab/>
      </w:r>
      <w:r>
        <w:tab/>
      </w:r>
    </w:p>
    <w:p w14:paraId="390FC45B" w14:textId="77777777" w:rsidR="00E55E75" w:rsidRDefault="007D1E03">
      <w:pPr>
        <w:tabs>
          <w:tab w:val="left" w:pos="1729"/>
          <w:tab w:val="left" w:pos="2591"/>
          <w:tab w:val="left" w:pos="3459"/>
        </w:tabs>
        <w:spacing w:line="360" w:lineRule="auto"/>
        <w:outlineLvl w:val="0"/>
      </w:pPr>
      <w:r>
        <w:tab/>
      </w:r>
      <w:r>
        <w:tab/>
      </w:r>
      <w:r>
        <w:tab/>
      </w:r>
      <w:r>
        <w:tab/>
      </w:r>
      <w:r>
        <w:tab/>
      </w:r>
      <w:r>
        <w:tab/>
      </w:r>
      <w:r>
        <w:tab/>
      </w:r>
      <w:r>
        <w:tab/>
        <w:t>…..</w:t>
      </w:r>
    </w:p>
    <w:sectPr w:rsidR="00E55E75" w:rsidSect="00D160A4">
      <w:footerReference w:type="default" r:id="rId9"/>
      <w:pgSz w:w="11907" w:h="16840"/>
      <w:pgMar w:top="1026" w:right="1418"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84F0" w14:textId="77777777" w:rsidR="00D160A4" w:rsidRDefault="00D160A4">
      <w:r>
        <w:separator/>
      </w:r>
    </w:p>
  </w:endnote>
  <w:endnote w:type="continuationSeparator" w:id="0">
    <w:p w14:paraId="39AE8A0F" w14:textId="77777777" w:rsidR="00D160A4" w:rsidRDefault="00D1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4409" w14:textId="3983928C" w:rsidR="00AC3440" w:rsidRPr="00AC3440" w:rsidRDefault="00AC3440" w:rsidP="00AC3440">
    <w:pPr>
      <w:pStyle w:val="Style1"/>
      <w:spacing w:before="120"/>
      <w:rPr>
        <w:b/>
        <w:bCs/>
        <w:sz w:val="16"/>
        <w:szCs w:val="16"/>
      </w:rPr>
    </w:pPr>
    <w:r w:rsidRPr="00AC3440">
      <w:rPr>
        <w:b/>
        <w:bCs/>
        <w:sz w:val="16"/>
        <w:szCs w:val="16"/>
      </w:rPr>
      <w:t xml:space="preserve">LP1 </w:t>
    </w:r>
    <w:r w:rsidRPr="00AC3440">
      <w:rPr>
        <w:sz w:val="16"/>
        <w:szCs w:val="16"/>
      </w:rPr>
      <w:t>AN APPLICATION UNDER SECTION 84 OF THE LAW OF PROPERTY ACT 1925 (01.24)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EEDC" w14:textId="77777777" w:rsidR="00D160A4" w:rsidRDefault="00D160A4">
      <w:r>
        <w:rPr>
          <w:color w:val="000000"/>
        </w:rPr>
        <w:separator/>
      </w:r>
    </w:p>
  </w:footnote>
  <w:footnote w:type="continuationSeparator" w:id="0">
    <w:p w14:paraId="1F5C3901" w14:textId="77777777" w:rsidR="00D160A4" w:rsidRDefault="00D1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804C4"/>
    <w:multiLevelType w:val="multilevel"/>
    <w:tmpl w:val="1940F4CC"/>
    <w:lvl w:ilvl="0">
      <w:start w:val="1"/>
      <w:numFmt w:val="decimal"/>
      <w:lvlText w:val="%1."/>
      <w:lvlJc w:val="left"/>
      <w:pPr>
        <w:ind w:left="720" w:hanging="360"/>
      </w:pPr>
      <w:rPr>
        <w:i w:val="0"/>
        <w:iCs/>
        <w:sz w:val="24"/>
      </w:rPr>
    </w:lvl>
    <w:lvl w:ilvl="1">
      <w:start w:val="1"/>
      <w:numFmt w:val="decimal"/>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527965"/>
    <w:multiLevelType w:val="multilevel"/>
    <w:tmpl w:val="BD76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5184669">
    <w:abstractNumId w:val="1"/>
  </w:num>
  <w:num w:numId="2" w16cid:durableId="2007635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75"/>
    <w:rsid w:val="002074B1"/>
    <w:rsid w:val="002201C0"/>
    <w:rsid w:val="002635B4"/>
    <w:rsid w:val="006D7032"/>
    <w:rsid w:val="00753FFD"/>
    <w:rsid w:val="007D1E03"/>
    <w:rsid w:val="009C0B4D"/>
    <w:rsid w:val="00AC3440"/>
    <w:rsid w:val="00AD22B4"/>
    <w:rsid w:val="00C07CD3"/>
    <w:rsid w:val="00D160A4"/>
    <w:rsid w:val="00D829B7"/>
    <w:rsid w:val="00DB3704"/>
    <w:rsid w:val="00E55E75"/>
    <w:rsid w:val="00F6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27FB"/>
  <w15:docId w15:val="{04A3D0D7-83BF-47A3-8838-FA259695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jc w:val="both"/>
    </w:pPr>
    <w:rPr>
      <w:rFonts w:ascii="Arial" w:hAnsi="Arial"/>
      <w:sz w:val="24"/>
      <w:lang w:eastAsia="en-US"/>
    </w:rPr>
  </w:style>
  <w:style w:type="paragraph" w:styleId="Heading1">
    <w:name w:val="heading 1"/>
    <w:basedOn w:val="Normal"/>
    <w:next w:val="Normal"/>
    <w:uiPriority w:val="9"/>
    <w:qFormat/>
    <w:pPr>
      <w:keepNext/>
      <w:jc w:val="left"/>
      <w:outlineLvl w:val="0"/>
    </w:pPr>
    <w:rPr>
      <w:b/>
      <w:bCs/>
    </w:rPr>
  </w:style>
  <w:style w:type="paragraph" w:styleId="Heading2">
    <w:name w:val="heading 2"/>
    <w:basedOn w:val="BodyText"/>
    <w:next w:val="BodyText"/>
    <w:uiPriority w:val="9"/>
    <w:semiHidden/>
    <w:unhideWhenUsed/>
    <w:qFormat/>
    <w:pPr>
      <w:keepNext/>
      <w:tabs>
        <w:tab w:val="left" w:pos="907"/>
        <w:tab w:val="left" w:pos="1644"/>
        <w:tab w:val="left" w:pos="2381"/>
        <w:tab w:val="left" w:pos="3119"/>
        <w:tab w:val="left" w:pos="3856"/>
        <w:tab w:val="left" w:pos="4593"/>
        <w:tab w:val="left" w:pos="5330"/>
        <w:tab w:val="left" w:pos="6067"/>
      </w:tabs>
      <w:overflowPunct/>
      <w:autoSpaceDE/>
      <w:spacing w:before="240" w:after="0"/>
      <w:ind w:left="907" w:hanging="907"/>
      <w:jc w:val="left"/>
      <w:textAlignment w:val="auto"/>
      <w:outlineLvl w:val="1"/>
    </w:pPr>
    <w:rPr>
      <w:rFonts w:ascii="Tahoma" w:eastAsia="Tahoma" w:hAnsi="Tahoma"/>
      <w:b/>
      <w:bCs/>
      <w:sz w:val="20"/>
    </w:rPr>
  </w:style>
  <w:style w:type="paragraph" w:styleId="Heading3">
    <w:name w:val="heading 3"/>
    <w:basedOn w:val="BodyText"/>
    <w:next w:val="BodyText"/>
    <w:uiPriority w:val="9"/>
    <w:semiHidden/>
    <w:unhideWhenUsed/>
    <w:qFormat/>
    <w:pPr>
      <w:tabs>
        <w:tab w:val="left" w:pos="907"/>
        <w:tab w:val="left" w:pos="1644"/>
        <w:tab w:val="left" w:pos="2381"/>
        <w:tab w:val="left" w:pos="3119"/>
        <w:tab w:val="left" w:pos="3856"/>
        <w:tab w:val="left" w:pos="4593"/>
        <w:tab w:val="left" w:pos="5330"/>
        <w:tab w:val="left" w:pos="6067"/>
      </w:tabs>
      <w:overflowPunct/>
      <w:autoSpaceDE/>
      <w:spacing w:before="240" w:after="0"/>
      <w:ind w:left="907" w:hanging="907"/>
      <w:textAlignment w:val="auto"/>
      <w:outlineLvl w:val="2"/>
    </w:pPr>
    <w:rPr>
      <w:rFonts w:ascii="Tahoma" w:eastAsia="Tahoma" w:hAnsi="Tahoma"/>
      <w:sz w:val="20"/>
    </w:rPr>
  </w:style>
  <w:style w:type="paragraph" w:styleId="Heading4">
    <w:name w:val="heading 4"/>
    <w:basedOn w:val="BodyText"/>
    <w:next w:val="BodyText"/>
    <w:uiPriority w:val="9"/>
    <w:semiHidden/>
    <w:unhideWhenUsed/>
    <w:qFormat/>
    <w:pPr>
      <w:tabs>
        <w:tab w:val="left" w:pos="1644"/>
        <w:tab w:val="left" w:pos="2381"/>
        <w:tab w:val="left" w:pos="3119"/>
        <w:tab w:val="left" w:pos="3856"/>
        <w:tab w:val="left" w:pos="4593"/>
        <w:tab w:val="left" w:pos="5330"/>
        <w:tab w:val="left" w:pos="6067"/>
      </w:tabs>
      <w:overflowPunct/>
      <w:autoSpaceDE/>
      <w:spacing w:before="240" w:after="0"/>
      <w:ind w:left="1644" w:hanging="737"/>
      <w:textAlignment w:val="auto"/>
      <w:outlineLvl w:val="3"/>
    </w:pPr>
    <w:rPr>
      <w:rFonts w:ascii="Tahoma" w:eastAsia="Tahoma" w:hAnsi="Tahoma"/>
      <w:sz w:val="20"/>
    </w:rPr>
  </w:style>
  <w:style w:type="paragraph" w:styleId="Heading5">
    <w:name w:val="heading 5"/>
    <w:basedOn w:val="BodyText"/>
    <w:next w:val="BodyText"/>
    <w:uiPriority w:val="9"/>
    <w:semiHidden/>
    <w:unhideWhenUsed/>
    <w:qFormat/>
    <w:pPr>
      <w:tabs>
        <w:tab w:val="left" w:pos="2381"/>
        <w:tab w:val="left" w:pos="3119"/>
        <w:tab w:val="left" w:pos="3856"/>
        <w:tab w:val="left" w:pos="4593"/>
        <w:tab w:val="left" w:pos="5330"/>
        <w:tab w:val="left" w:pos="6067"/>
      </w:tabs>
      <w:overflowPunct/>
      <w:autoSpaceDE/>
      <w:spacing w:before="240" w:after="0"/>
      <w:ind w:left="2381" w:hanging="737"/>
      <w:textAlignment w:val="auto"/>
      <w:outlineLvl w:val="4"/>
    </w:pPr>
    <w:rPr>
      <w:rFonts w:ascii="Tahoma" w:eastAsia="Tahoma" w:hAnsi="Tahoma" w:cs="Tahoma"/>
      <w:sz w:val="20"/>
    </w:rPr>
  </w:style>
  <w:style w:type="paragraph" w:styleId="Heading6">
    <w:name w:val="heading 6"/>
    <w:basedOn w:val="BodyText"/>
    <w:next w:val="BodyText"/>
    <w:uiPriority w:val="9"/>
    <w:semiHidden/>
    <w:unhideWhenUsed/>
    <w:qFormat/>
    <w:pPr>
      <w:tabs>
        <w:tab w:val="left" w:pos="3119"/>
        <w:tab w:val="left" w:pos="3856"/>
        <w:tab w:val="left" w:pos="4593"/>
        <w:tab w:val="left" w:pos="5330"/>
        <w:tab w:val="left" w:pos="6067"/>
      </w:tabs>
      <w:overflowPunct/>
      <w:autoSpaceDE/>
      <w:spacing w:before="240" w:after="0"/>
      <w:ind w:left="3119" w:hanging="738"/>
      <w:textAlignment w:val="auto"/>
      <w:outlineLvl w:val="5"/>
    </w:pPr>
    <w:rPr>
      <w:rFonts w:ascii="Tahoma" w:eastAsia="Tahoma" w:hAnsi="Tahoma"/>
      <w:sz w:val="20"/>
    </w:rPr>
  </w:style>
  <w:style w:type="paragraph" w:styleId="Heading7">
    <w:name w:val="heading 7"/>
    <w:basedOn w:val="BodyText"/>
    <w:next w:val="BodyText"/>
    <w:pPr>
      <w:tabs>
        <w:tab w:val="left" w:pos="3856"/>
        <w:tab w:val="left" w:pos="4593"/>
        <w:tab w:val="left" w:pos="5330"/>
        <w:tab w:val="left" w:pos="6067"/>
      </w:tabs>
      <w:overflowPunct/>
      <w:autoSpaceDE/>
      <w:spacing w:before="240" w:after="0"/>
      <w:ind w:left="3856" w:hanging="737"/>
      <w:textAlignment w:val="auto"/>
      <w:outlineLvl w:val="6"/>
    </w:pPr>
    <w:rPr>
      <w:rFonts w:ascii="Tahoma" w:eastAsia="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i/>
      <w:sz w:val="16"/>
    </w:rPr>
  </w:style>
  <w:style w:type="paragraph" w:customStyle="1" w:styleId="Style1">
    <w:name w:val="Style1"/>
    <w:basedOn w:val="Normal"/>
    <w:pPr>
      <w:tabs>
        <w:tab w:val="left" w:pos="567"/>
      </w:tabs>
      <w:overflowPunct/>
      <w:autoSpaceDE/>
      <w:jc w:val="left"/>
      <w:textAlignment w:val="auto"/>
    </w:pPr>
    <w:rPr>
      <w:lang w:val="en-US"/>
    </w:rPr>
  </w:style>
  <w:style w:type="paragraph" w:customStyle="1" w:styleId="Heading0">
    <w:name w:val="Heading 0"/>
    <w:basedOn w:val="BodyText"/>
    <w:next w:val="BodyText"/>
    <w:pPr>
      <w:tabs>
        <w:tab w:val="left" w:pos="907"/>
        <w:tab w:val="left" w:pos="1644"/>
        <w:tab w:val="left" w:pos="2381"/>
        <w:tab w:val="left" w:pos="3119"/>
        <w:tab w:val="left" w:pos="3856"/>
        <w:tab w:val="left" w:pos="4593"/>
        <w:tab w:val="left" w:pos="5330"/>
        <w:tab w:val="left" w:pos="6067"/>
      </w:tabs>
      <w:overflowPunct/>
      <w:autoSpaceDE/>
      <w:spacing w:before="240" w:after="0"/>
      <w:ind w:left="907" w:hanging="907"/>
      <w:textAlignment w:val="auto"/>
    </w:pPr>
    <w:rPr>
      <w:rFonts w:ascii="Tahoma" w:eastAsia="Tahoma" w:hAnsi="Tahoma"/>
      <w:vanish/>
      <w:color w:val="FF0000"/>
      <w:sz w:val="20"/>
    </w:rPr>
  </w:style>
  <w:style w:type="paragraph" w:customStyle="1" w:styleId="HeadingList">
    <w:name w:val="Heading List"/>
    <w:basedOn w:val="BodyText"/>
    <w:next w:val="BodyText"/>
    <w:pPr>
      <w:tabs>
        <w:tab w:val="left" w:pos="907"/>
        <w:tab w:val="left" w:pos="1644"/>
        <w:tab w:val="left" w:pos="2381"/>
        <w:tab w:val="left" w:pos="3119"/>
        <w:tab w:val="left" w:pos="3856"/>
        <w:tab w:val="left" w:pos="4593"/>
        <w:tab w:val="left" w:pos="5330"/>
        <w:tab w:val="left" w:pos="6067"/>
      </w:tabs>
      <w:overflowPunct/>
      <w:autoSpaceDE/>
      <w:spacing w:before="240" w:after="0"/>
      <w:ind w:left="907" w:hanging="907"/>
      <w:textAlignment w:val="auto"/>
    </w:pPr>
    <w:rPr>
      <w:rFonts w:ascii="Tahoma" w:eastAsia="Tahoma" w:hAnsi="Tahoma"/>
      <w:vanish/>
      <w:color w:val="FF0000"/>
      <w:sz w:val="20"/>
    </w:rPr>
  </w:style>
  <w:style w:type="paragraph" w:styleId="BodyText">
    <w:name w:val="Body Text"/>
    <w:basedOn w:val="Normal"/>
    <w:pPr>
      <w:spacing w:after="120"/>
    </w:p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rPr>
      <w:rFonts w:ascii="Arial" w:hAnsi="Arial"/>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lang w:eastAsia="en-US"/>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uiPriority w:val="99"/>
    <w:semiHidden/>
    <w:unhideWhenUsed/>
    <w:rsid w:val="00220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uidance/hmcts-e-filing-service-for-citizens-and-professiona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ORD49.dot</vt:lpstr>
    </vt:vector>
  </TitlesOfParts>
  <Company>MOJ</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ORD49.dot</dc:title>
  <dc:subject>ORD49 - Registrar's Directions</dc:subject>
  <dc:creator>Henderson, Adam</dc:creator>
  <cp:lastModifiedBy>Campbell-Adams, Bayley</cp:lastModifiedBy>
  <cp:revision>5</cp:revision>
  <cp:lastPrinted>2016-12-01T08:54:00Z</cp:lastPrinted>
  <dcterms:created xsi:type="dcterms:W3CDTF">2024-01-17T09:11:00Z</dcterms:created>
  <dcterms:modified xsi:type="dcterms:W3CDTF">2024-01-19T11:46:00Z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0x010100DFE7286E4BBBDC4EBA12C42111CD2D65</vt:lpwstr>
  </property>
</Properties>
</file>