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465" w:type="pct"/>
        <w:tblLook w:val="01E0" w:firstRow="1" w:lastRow="1" w:firstColumn="1" w:lastColumn="1" w:noHBand="0" w:noVBand="0"/>
      </w:tblPr>
      <w:tblGrid>
        <w:gridCol w:w="2966"/>
        <w:gridCol w:w="330"/>
        <w:gridCol w:w="5209"/>
      </w:tblGrid>
      <w:tr w:rsidR="005C779D" w14:paraId="4E5FB665" w14:textId="77777777" w:rsidTr="000D55AD">
        <w:tc>
          <w:tcPr>
            <w:tcW w:w="1750" w:type="pct"/>
            <w:vAlign w:val="center"/>
          </w:tcPr>
          <w:p w14:paraId="44BB9D56" w14:textId="77777777" w:rsidR="005C779D" w:rsidRDefault="00993917">
            <w:pPr>
              <w:widowControl w:val="0"/>
              <w:tabs>
                <w:tab w:val="left" w:pos="2880"/>
              </w:tabs>
              <w:spacing w:after="240"/>
              <w:rPr>
                <w:rFonts w:cs="Georgia"/>
                <w:b/>
                <w:bCs/>
              </w:rPr>
            </w:pPr>
            <w:r>
              <w:rPr>
                <w:noProof/>
              </w:rPr>
              <w:drawing>
                <wp:inline distT="0" distB="0" distL="0" distR="0" wp14:anchorId="5C3543B3" wp14:editId="0273178A">
                  <wp:extent cx="908050" cy="763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7"/>
                          <a:stretch>
                            <a:fillRect/>
                          </a:stretch>
                        </pic:blipFill>
                        <pic:spPr bwMode="auto">
                          <a:xfrm>
                            <a:off x="0" y="0"/>
                            <a:ext cx="908050" cy="763270"/>
                          </a:xfrm>
                          <a:prstGeom prst="rect">
                            <a:avLst/>
                          </a:prstGeom>
                        </pic:spPr>
                      </pic:pic>
                    </a:graphicData>
                  </a:graphic>
                </wp:inline>
              </w:drawing>
            </w:r>
          </w:p>
        </w:tc>
        <w:tc>
          <w:tcPr>
            <w:tcW w:w="339" w:type="pct"/>
            <w:vAlign w:val="center"/>
          </w:tcPr>
          <w:p w14:paraId="6C8FC1E2" w14:textId="77777777" w:rsidR="005C779D" w:rsidRDefault="005C779D">
            <w:pPr>
              <w:widowControl w:val="0"/>
              <w:tabs>
                <w:tab w:val="left" w:pos="2880"/>
              </w:tabs>
              <w:spacing w:after="240"/>
              <w:rPr>
                <w:rFonts w:cs="Georgia"/>
                <w:b/>
                <w:bCs/>
              </w:rPr>
            </w:pPr>
          </w:p>
        </w:tc>
        <w:tc>
          <w:tcPr>
            <w:tcW w:w="2911" w:type="pct"/>
            <w:vAlign w:val="center"/>
          </w:tcPr>
          <w:p w14:paraId="620DEC8B" w14:textId="0E4B4E8A" w:rsidR="005C779D" w:rsidRDefault="00D13423">
            <w:pPr>
              <w:pStyle w:val="Title"/>
              <w:widowControl w:val="0"/>
              <w:ind w:left="3600" w:hanging="3600"/>
              <w:jc w:val="left"/>
              <w:rPr>
                <w:rFonts w:ascii="Georgia" w:hAnsi="Georgia" w:cs="Georgia"/>
              </w:rPr>
            </w:pPr>
            <w:r>
              <w:rPr>
                <w:rFonts w:ascii="Georgia" w:hAnsi="Georgia" w:cs="Georgia"/>
                <w:sz w:val="24"/>
                <w:szCs w:val="24"/>
              </w:rPr>
              <w:t>FIRST</w:t>
            </w:r>
            <w:r w:rsidR="00993917">
              <w:rPr>
                <w:rFonts w:ascii="Georgia" w:hAnsi="Georgia" w:cs="Georgia"/>
                <w:sz w:val="24"/>
                <w:szCs w:val="24"/>
              </w:rPr>
              <w:t>-TIER TRIBUNAL</w:t>
            </w:r>
          </w:p>
          <w:p w14:paraId="4B386AA2" w14:textId="77777777" w:rsidR="005C779D" w:rsidRDefault="00993917">
            <w:pPr>
              <w:widowControl w:val="0"/>
              <w:tabs>
                <w:tab w:val="left" w:pos="2880"/>
              </w:tabs>
              <w:rPr>
                <w:rFonts w:cs="Georgia"/>
                <w:b/>
                <w:bCs/>
              </w:rPr>
            </w:pPr>
            <w:r>
              <w:rPr>
                <w:rFonts w:cs="Georgia"/>
                <w:b/>
                <w:bCs/>
              </w:rPr>
              <w:t>PROPERTY CHAMBER (RESIDENTIAL PROPERTY)</w:t>
            </w:r>
          </w:p>
        </w:tc>
      </w:tr>
      <w:tr w:rsidR="005C779D" w14:paraId="7D93EE22" w14:textId="77777777" w:rsidTr="000D55AD">
        <w:tc>
          <w:tcPr>
            <w:tcW w:w="1750" w:type="pct"/>
          </w:tcPr>
          <w:p w14:paraId="48E52FF6" w14:textId="77777777" w:rsidR="005C779D" w:rsidRDefault="00993917" w:rsidP="000D55AD">
            <w:pPr>
              <w:widowControl w:val="0"/>
              <w:tabs>
                <w:tab w:val="left" w:pos="2880"/>
              </w:tabs>
              <w:spacing w:before="120" w:after="240"/>
              <w:rPr>
                <w:rFonts w:cs="Georgia"/>
                <w:b/>
                <w:bCs/>
              </w:rPr>
            </w:pPr>
            <w:r>
              <w:rPr>
                <w:rFonts w:cs="Georgia"/>
                <w:b/>
                <w:bCs/>
              </w:rPr>
              <w:t>Case References</w:t>
            </w:r>
          </w:p>
        </w:tc>
        <w:tc>
          <w:tcPr>
            <w:tcW w:w="339" w:type="pct"/>
          </w:tcPr>
          <w:p w14:paraId="1B6DC018" w14:textId="77777777" w:rsidR="005C779D" w:rsidRDefault="00993917" w:rsidP="000D55AD">
            <w:pPr>
              <w:widowControl w:val="0"/>
              <w:tabs>
                <w:tab w:val="left" w:pos="2880"/>
              </w:tabs>
              <w:spacing w:before="120" w:after="240"/>
              <w:rPr>
                <w:rFonts w:cs="Georgia"/>
                <w:b/>
                <w:bCs/>
              </w:rPr>
            </w:pPr>
            <w:r>
              <w:rPr>
                <w:rFonts w:cs="Georgia"/>
                <w:b/>
                <w:bCs/>
              </w:rPr>
              <w:t>:</w:t>
            </w:r>
          </w:p>
        </w:tc>
        <w:tc>
          <w:tcPr>
            <w:tcW w:w="2911" w:type="pct"/>
          </w:tcPr>
          <w:p w14:paraId="6F6E8291" w14:textId="0A4DFFDD" w:rsidR="005C779D" w:rsidRDefault="00174981" w:rsidP="00D32A21">
            <w:pPr>
              <w:widowControl w:val="0"/>
              <w:tabs>
                <w:tab w:val="left" w:pos="2880"/>
              </w:tabs>
              <w:spacing w:before="120" w:after="240"/>
              <w:rPr>
                <w:rFonts w:cs="Georgia"/>
                <w:b/>
                <w:bCs/>
              </w:rPr>
            </w:pPr>
            <w:r>
              <w:rPr>
                <w:rFonts w:cs="Georgia"/>
                <w:b/>
                <w:bCs/>
              </w:rPr>
              <w:t>LON/</w:t>
            </w:r>
            <w:r w:rsidR="00092243">
              <w:rPr>
                <w:rFonts w:cs="Georgia"/>
                <w:b/>
                <w:bCs/>
              </w:rPr>
              <w:t>OO</w:t>
            </w:r>
            <w:r w:rsidR="009B254C">
              <w:rPr>
                <w:rFonts w:cs="Georgia"/>
                <w:b/>
                <w:bCs/>
              </w:rPr>
              <w:t>AE</w:t>
            </w:r>
            <w:r>
              <w:rPr>
                <w:rFonts w:cs="Georgia"/>
                <w:b/>
                <w:bCs/>
              </w:rPr>
              <w:t>/</w:t>
            </w:r>
            <w:r w:rsidR="00D32A21">
              <w:rPr>
                <w:rFonts w:cs="Georgia"/>
                <w:b/>
                <w:bCs/>
              </w:rPr>
              <w:t>LSC</w:t>
            </w:r>
            <w:r w:rsidR="00993917">
              <w:rPr>
                <w:rFonts w:cs="Georgia"/>
                <w:b/>
                <w:bCs/>
              </w:rPr>
              <w:t>/202</w:t>
            </w:r>
            <w:r w:rsidR="00D32A21">
              <w:rPr>
                <w:rFonts w:cs="Georgia"/>
                <w:b/>
                <w:bCs/>
              </w:rPr>
              <w:t>2</w:t>
            </w:r>
            <w:r w:rsidR="00993917">
              <w:rPr>
                <w:rFonts w:cs="Georgia"/>
                <w:b/>
                <w:bCs/>
              </w:rPr>
              <w:t>/</w:t>
            </w:r>
            <w:r w:rsidR="009D0A16">
              <w:rPr>
                <w:rFonts w:cs="Georgia"/>
                <w:b/>
                <w:bCs/>
              </w:rPr>
              <w:t>0</w:t>
            </w:r>
            <w:r w:rsidR="009B254C">
              <w:rPr>
                <w:rFonts w:cs="Georgia"/>
                <w:b/>
                <w:bCs/>
              </w:rPr>
              <w:t>1</w:t>
            </w:r>
            <w:r w:rsidR="00D32A21">
              <w:rPr>
                <w:rFonts w:cs="Georgia"/>
                <w:b/>
                <w:bCs/>
              </w:rPr>
              <w:t>86</w:t>
            </w:r>
            <w:r w:rsidR="0026670D">
              <w:rPr>
                <w:rFonts w:cs="Georgia"/>
                <w:b/>
                <w:bCs/>
              </w:rPr>
              <w:t xml:space="preserve"> and LON/OOAE/LVT/2023/0003</w:t>
            </w:r>
          </w:p>
        </w:tc>
      </w:tr>
      <w:tr w:rsidR="005C779D" w14:paraId="6F4CC445" w14:textId="77777777" w:rsidTr="000D55AD">
        <w:tc>
          <w:tcPr>
            <w:tcW w:w="1750" w:type="pct"/>
          </w:tcPr>
          <w:p w14:paraId="6B7A8FC2" w14:textId="7B12D528" w:rsidR="005C779D" w:rsidRPr="00EC0648" w:rsidRDefault="00EC0648" w:rsidP="00EC0648">
            <w:pPr>
              <w:widowControl w:val="0"/>
              <w:tabs>
                <w:tab w:val="left" w:pos="2880"/>
              </w:tabs>
              <w:spacing w:before="120" w:after="240"/>
              <w:rPr>
                <w:rFonts w:cs="Georgia"/>
                <w:b/>
              </w:rPr>
            </w:pPr>
            <w:r w:rsidRPr="00EC0648">
              <w:rPr>
                <w:rFonts w:cs="Georgia"/>
                <w:b/>
              </w:rPr>
              <w:t>Properties</w:t>
            </w:r>
          </w:p>
        </w:tc>
        <w:tc>
          <w:tcPr>
            <w:tcW w:w="339" w:type="pct"/>
          </w:tcPr>
          <w:p w14:paraId="7EEA9451" w14:textId="77777777" w:rsidR="005C779D" w:rsidRDefault="00993917" w:rsidP="000D55AD">
            <w:pPr>
              <w:widowControl w:val="0"/>
              <w:tabs>
                <w:tab w:val="left" w:pos="2880"/>
              </w:tabs>
              <w:spacing w:before="120" w:after="240"/>
              <w:rPr>
                <w:rFonts w:cs="Georgia"/>
                <w:b/>
                <w:bCs/>
              </w:rPr>
            </w:pPr>
            <w:r>
              <w:rPr>
                <w:rFonts w:cs="Georgia"/>
                <w:b/>
                <w:bCs/>
              </w:rPr>
              <w:t>:</w:t>
            </w:r>
          </w:p>
        </w:tc>
        <w:tc>
          <w:tcPr>
            <w:tcW w:w="2911" w:type="pct"/>
          </w:tcPr>
          <w:p w14:paraId="0848E383" w14:textId="6A7CA259" w:rsidR="005C779D" w:rsidRDefault="00D32A21" w:rsidP="000D55AD">
            <w:pPr>
              <w:widowControl w:val="0"/>
              <w:tabs>
                <w:tab w:val="left" w:pos="2880"/>
              </w:tabs>
              <w:spacing w:before="120" w:after="240"/>
              <w:rPr>
                <w:rFonts w:cs="Georgia"/>
                <w:b/>
                <w:bCs/>
              </w:rPr>
            </w:pPr>
            <w:r>
              <w:rPr>
                <w:rFonts w:cs="Georgia"/>
                <w:b/>
                <w:bCs/>
              </w:rPr>
              <w:t>Flats 5 and 11 Book Centre Mansions, North Circular Road, London NW10 0JD</w:t>
            </w:r>
          </w:p>
        </w:tc>
      </w:tr>
      <w:tr w:rsidR="005C779D" w:rsidRPr="00174981" w14:paraId="5D3338C5" w14:textId="77777777" w:rsidTr="000D55AD">
        <w:tc>
          <w:tcPr>
            <w:tcW w:w="1750" w:type="pct"/>
          </w:tcPr>
          <w:p w14:paraId="6F12874C" w14:textId="63E294A9" w:rsidR="005C779D" w:rsidRDefault="00993917" w:rsidP="000D55AD">
            <w:pPr>
              <w:widowControl w:val="0"/>
              <w:tabs>
                <w:tab w:val="left" w:pos="2880"/>
              </w:tabs>
              <w:spacing w:before="120" w:after="240"/>
              <w:rPr>
                <w:rFonts w:cs="Georgia"/>
                <w:b/>
                <w:bCs/>
              </w:rPr>
            </w:pPr>
            <w:r>
              <w:rPr>
                <w:rFonts w:cs="Georgia"/>
                <w:b/>
                <w:bCs/>
              </w:rPr>
              <w:t>Applicant</w:t>
            </w:r>
            <w:r w:rsidR="009B254C">
              <w:rPr>
                <w:rFonts w:cs="Georgia"/>
                <w:b/>
                <w:bCs/>
              </w:rPr>
              <w:t>/Tenant</w:t>
            </w:r>
          </w:p>
        </w:tc>
        <w:tc>
          <w:tcPr>
            <w:tcW w:w="339" w:type="pct"/>
          </w:tcPr>
          <w:p w14:paraId="34DD4EBE" w14:textId="77777777" w:rsidR="005C779D" w:rsidRDefault="00993917" w:rsidP="000D55AD">
            <w:pPr>
              <w:widowControl w:val="0"/>
              <w:tabs>
                <w:tab w:val="left" w:pos="2880"/>
              </w:tabs>
              <w:spacing w:before="120" w:after="240"/>
              <w:rPr>
                <w:rFonts w:cs="Georgia"/>
                <w:b/>
                <w:bCs/>
              </w:rPr>
            </w:pPr>
            <w:r>
              <w:rPr>
                <w:rFonts w:cs="Georgia"/>
                <w:b/>
                <w:bCs/>
              </w:rPr>
              <w:t>:</w:t>
            </w:r>
          </w:p>
        </w:tc>
        <w:tc>
          <w:tcPr>
            <w:tcW w:w="2911" w:type="pct"/>
          </w:tcPr>
          <w:p w14:paraId="31F9F4DB" w14:textId="5E78CD19" w:rsidR="009D0A16" w:rsidRPr="006262A3" w:rsidRDefault="00D32A21" w:rsidP="000D55AD">
            <w:pPr>
              <w:widowControl w:val="0"/>
              <w:tabs>
                <w:tab w:val="left" w:pos="2880"/>
              </w:tabs>
              <w:spacing w:before="120" w:after="240"/>
              <w:rPr>
                <w:rFonts w:cs="Georgia"/>
                <w:b/>
                <w:bCs/>
              </w:rPr>
            </w:pPr>
            <w:r>
              <w:rPr>
                <w:rFonts w:cs="Georgia"/>
                <w:b/>
                <w:bCs/>
              </w:rPr>
              <w:t>Duchess Home Ltd</w:t>
            </w:r>
          </w:p>
        </w:tc>
      </w:tr>
      <w:tr w:rsidR="005C779D" w14:paraId="3A2C1989" w14:textId="77777777" w:rsidTr="000D55AD">
        <w:tc>
          <w:tcPr>
            <w:tcW w:w="1750" w:type="pct"/>
          </w:tcPr>
          <w:p w14:paraId="1115B4C9" w14:textId="77777777" w:rsidR="005C779D" w:rsidRDefault="00993917" w:rsidP="000D55AD">
            <w:pPr>
              <w:widowControl w:val="0"/>
              <w:tabs>
                <w:tab w:val="left" w:pos="2880"/>
              </w:tabs>
              <w:spacing w:before="120" w:after="240"/>
              <w:rPr>
                <w:rFonts w:cs="Georgia"/>
                <w:b/>
                <w:bCs/>
              </w:rPr>
            </w:pPr>
            <w:r>
              <w:rPr>
                <w:rFonts w:cs="Georgia"/>
                <w:b/>
                <w:bCs/>
              </w:rPr>
              <w:t>Representative</w:t>
            </w:r>
          </w:p>
        </w:tc>
        <w:tc>
          <w:tcPr>
            <w:tcW w:w="339" w:type="pct"/>
          </w:tcPr>
          <w:p w14:paraId="08C546FC" w14:textId="77777777" w:rsidR="005C779D" w:rsidRDefault="00993917" w:rsidP="000D55AD">
            <w:pPr>
              <w:widowControl w:val="0"/>
              <w:tabs>
                <w:tab w:val="left" w:pos="2880"/>
              </w:tabs>
              <w:spacing w:before="120" w:after="240"/>
              <w:rPr>
                <w:rFonts w:cs="Georgia"/>
                <w:b/>
                <w:bCs/>
              </w:rPr>
            </w:pPr>
            <w:r>
              <w:rPr>
                <w:rFonts w:cs="Georgia"/>
                <w:b/>
                <w:bCs/>
              </w:rPr>
              <w:t>:</w:t>
            </w:r>
          </w:p>
        </w:tc>
        <w:tc>
          <w:tcPr>
            <w:tcW w:w="2911" w:type="pct"/>
          </w:tcPr>
          <w:p w14:paraId="1340DB5C" w14:textId="40CE1376" w:rsidR="005C779D" w:rsidRDefault="00D32A21" w:rsidP="0026670D">
            <w:pPr>
              <w:widowControl w:val="0"/>
              <w:tabs>
                <w:tab w:val="left" w:pos="2880"/>
              </w:tabs>
              <w:spacing w:before="120" w:after="240"/>
              <w:rPr>
                <w:rFonts w:cs="Georgia"/>
                <w:b/>
                <w:bCs/>
              </w:rPr>
            </w:pPr>
            <w:r>
              <w:rPr>
                <w:rFonts w:cs="Georgia"/>
                <w:b/>
                <w:bCs/>
              </w:rPr>
              <w:t>Ms Ebele Muorah</w:t>
            </w:r>
            <w:r w:rsidR="0026670D">
              <w:rPr>
                <w:rFonts w:cs="Georgia"/>
                <w:b/>
                <w:bCs/>
              </w:rPr>
              <w:t xml:space="preserve"> </w:t>
            </w:r>
            <w:r w:rsidR="002147C4">
              <w:rPr>
                <w:rFonts w:cs="Georgia"/>
                <w:b/>
                <w:bCs/>
              </w:rPr>
              <w:t xml:space="preserve">of EB Electric Limited (Company Number 093611809, formally incorporated as Duchess Place Limited) and </w:t>
            </w:r>
            <w:r w:rsidR="00497D5C">
              <w:rPr>
                <w:rFonts w:cs="Georgia"/>
                <w:b/>
                <w:bCs/>
              </w:rPr>
              <w:t>accompanied by Mr Aaron Muorah.</w:t>
            </w:r>
          </w:p>
        </w:tc>
      </w:tr>
      <w:tr w:rsidR="005C779D" w14:paraId="05E771E9" w14:textId="77777777" w:rsidTr="000D55AD">
        <w:tc>
          <w:tcPr>
            <w:tcW w:w="1750" w:type="pct"/>
          </w:tcPr>
          <w:p w14:paraId="48DC70B0" w14:textId="6A1C2A84" w:rsidR="005C779D" w:rsidRDefault="00993917" w:rsidP="000D55AD">
            <w:pPr>
              <w:widowControl w:val="0"/>
              <w:tabs>
                <w:tab w:val="left" w:pos="2880"/>
              </w:tabs>
              <w:spacing w:before="120" w:after="240"/>
              <w:rPr>
                <w:rFonts w:cs="Georgia"/>
                <w:b/>
                <w:bCs/>
              </w:rPr>
            </w:pPr>
            <w:r>
              <w:rPr>
                <w:rFonts w:cs="Georgia"/>
                <w:b/>
                <w:bCs/>
              </w:rPr>
              <w:t>Respondent</w:t>
            </w:r>
            <w:r w:rsidR="00CE2C84">
              <w:rPr>
                <w:rFonts w:cs="Georgia"/>
                <w:b/>
                <w:bCs/>
              </w:rPr>
              <w:t>/Landlord</w:t>
            </w:r>
          </w:p>
        </w:tc>
        <w:tc>
          <w:tcPr>
            <w:tcW w:w="339" w:type="pct"/>
          </w:tcPr>
          <w:p w14:paraId="4BDBFA8F" w14:textId="77777777" w:rsidR="005C779D" w:rsidRDefault="00993917" w:rsidP="000D55AD">
            <w:pPr>
              <w:widowControl w:val="0"/>
              <w:tabs>
                <w:tab w:val="left" w:pos="2880"/>
              </w:tabs>
              <w:spacing w:before="120" w:after="240"/>
              <w:rPr>
                <w:rFonts w:cs="Georgia"/>
                <w:b/>
                <w:bCs/>
              </w:rPr>
            </w:pPr>
            <w:r>
              <w:rPr>
                <w:rFonts w:cs="Georgia"/>
                <w:b/>
                <w:bCs/>
              </w:rPr>
              <w:t>:</w:t>
            </w:r>
          </w:p>
        </w:tc>
        <w:tc>
          <w:tcPr>
            <w:tcW w:w="2911" w:type="pct"/>
          </w:tcPr>
          <w:p w14:paraId="0D2CACA2" w14:textId="3ABF48B9" w:rsidR="005C779D" w:rsidRDefault="00D32A21" w:rsidP="000D55AD">
            <w:pPr>
              <w:widowControl w:val="0"/>
              <w:tabs>
                <w:tab w:val="left" w:pos="2880"/>
              </w:tabs>
              <w:spacing w:before="120" w:after="240"/>
              <w:rPr>
                <w:rFonts w:cs="Georgia"/>
                <w:b/>
                <w:bCs/>
              </w:rPr>
            </w:pPr>
            <w:r>
              <w:rPr>
                <w:rFonts w:cs="Georgia"/>
                <w:b/>
                <w:bCs/>
              </w:rPr>
              <w:t>Twincross Investments Ltd</w:t>
            </w:r>
          </w:p>
        </w:tc>
      </w:tr>
      <w:tr w:rsidR="005C779D" w14:paraId="60561281" w14:textId="77777777" w:rsidTr="000D55AD">
        <w:tc>
          <w:tcPr>
            <w:tcW w:w="1750" w:type="pct"/>
          </w:tcPr>
          <w:p w14:paraId="1B09ADD2" w14:textId="77777777" w:rsidR="005C779D" w:rsidRDefault="00993917" w:rsidP="000D55AD">
            <w:pPr>
              <w:widowControl w:val="0"/>
              <w:tabs>
                <w:tab w:val="left" w:pos="2880"/>
              </w:tabs>
              <w:spacing w:before="120" w:after="240"/>
              <w:rPr>
                <w:rFonts w:cs="Georgia"/>
                <w:b/>
                <w:bCs/>
              </w:rPr>
            </w:pPr>
            <w:r>
              <w:rPr>
                <w:rFonts w:cs="Georgia"/>
                <w:b/>
                <w:bCs/>
              </w:rPr>
              <w:t>Representative</w:t>
            </w:r>
          </w:p>
        </w:tc>
        <w:tc>
          <w:tcPr>
            <w:tcW w:w="339" w:type="pct"/>
          </w:tcPr>
          <w:p w14:paraId="5D5E1147" w14:textId="77777777" w:rsidR="005C779D" w:rsidRDefault="00993917" w:rsidP="000D55AD">
            <w:pPr>
              <w:widowControl w:val="0"/>
              <w:tabs>
                <w:tab w:val="left" w:pos="2880"/>
              </w:tabs>
              <w:spacing w:before="120" w:after="240"/>
              <w:rPr>
                <w:rFonts w:cs="Georgia"/>
                <w:b/>
                <w:bCs/>
              </w:rPr>
            </w:pPr>
            <w:r>
              <w:rPr>
                <w:rFonts w:cs="Georgia"/>
                <w:b/>
                <w:bCs/>
              </w:rPr>
              <w:t>:</w:t>
            </w:r>
          </w:p>
        </w:tc>
        <w:tc>
          <w:tcPr>
            <w:tcW w:w="2911" w:type="pct"/>
          </w:tcPr>
          <w:p w14:paraId="7CC9AF46" w14:textId="6D20F74B" w:rsidR="00F87460" w:rsidRDefault="00D32A21" w:rsidP="000D55AD">
            <w:pPr>
              <w:widowControl w:val="0"/>
              <w:tabs>
                <w:tab w:val="left" w:pos="2880"/>
              </w:tabs>
              <w:spacing w:before="120" w:after="240"/>
              <w:rPr>
                <w:rFonts w:cs="Georgia"/>
                <w:b/>
                <w:bCs/>
              </w:rPr>
            </w:pPr>
            <w:r>
              <w:rPr>
                <w:rFonts w:cs="Georgia"/>
                <w:b/>
                <w:bCs/>
              </w:rPr>
              <w:t>Mr Aron Sanger</w:t>
            </w:r>
          </w:p>
        </w:tc>
      </w:tr>
      <w:tr w:rsidR="005C779D" w14:paraId="223E192F" w14:textId="77777777" w:rsidTr="000D55AD">
        <w:tc>
          <w:tcPr>
            <w:tcW w:w="1750" w:type="pct"/>
          </w:tcPr>
          <w:p w14:paraId="6110C54A" w14:textId="77777777" w:rsidR="005C779D" w:rsidRDefault="00993917" w:rsidP="000D55AD">
            <w:pPr>
              <w:widowControl w:val="0"/>
              <w:tabs>
                <w:tab w:val="left" w:pos="2880"/>
              </w:tabs>
              <w:spacing w:before="120" w:after="240"/>
              <w:rPr>
                <w:rFonts w:cs="Georgia"/>
                <w:b/>
                <w:bCs/>
              </w:rPr>
            </w:pPr>
            <w:r>
              <w:rPr>
                <w:rFonts w:cs="Georgia"/>
                <w:b/>
                <w:bCs/>
              </w:rPr>
              <w:t>Type of Application</w:t>
            </w:r>
          </w:p>
        </w:tc>
        <w:tc>
          <w:tcPr>
            <w:tcW w:w="339" w:type="pct"/>
          </w:tcPr>
          <w:p w14:paraId="5B6D8D56" w14:textId="77777777" w:rsidR="005C779D" w:rsidRDefault="00993917" w:rsidP="000D55AD">
            <w:pPr>
              <w:widowControl w:val="0"/>
              <w:tabs>
                <w:tab w:val="left" w:pos="2880"/>
              </w:tabs>
              <w:spacing w:before="120" w:after="240"/>
              <w:rPr>
                <w:rFonts w:cs="Georgia"/>
                <w:b/>
                <w:bCs/>
              </w:rPr>
            </w:pPr>
            <w:r>
              <w:rPr>
                <w:rFonts w:cs="Georgia"/>
                <w:b/>
                <w:bCs/>
              </w:rPr>
              <w:t>:</w:t>
            </w:r>
          </w:p>
        </w:tc>
        <w:tc>
          <w:tcPr>
            <w:tcW w:w="2911" w:type="pct"/>
          </w:tcPr>
          <w:p w14:paraId="14D3F3D6" w14:textId="790C20DD" w:rsidR="002B3A50" w:rsidRDefault="00D32A21" w:rsidP="000D55AD">
            <w:pPr>
              <w:widowControl w:val="0"/>
              <w:tabs>
                <w:tab w:val="left" w:pos="2880"/>
              </w:tabs>
              <w:spacing w:before="120" w:after="240"/>
              <w:rPr>
                <w:rFonts w:cs="Georgia"/>
                <w:b/>
                <w:bCs/>
              </w:rPr>
            </w:pPr>
            <w:r>
              <w:rPr>
                <w:rFonts w:cs="Georgia"/>
                <w:b/>
                <w:bCs/>
              </w:rPr>
              <w:t>Liability to pay service charges</w:t>
            </w:r>
            <w:r w:rsidR="00CE2C84">
              <w:rPr>
                <w:rFonts w:cs="Georgia"/>
                <w:b/>
                <w:bCs/>
              </w:rPr>
              <w:t xml:space="preserve"> </w:t>
            </w:r>
            <w:r w:rsidR="0026670D">
              <w:rPr>
                <w:rFonts w:cs="Georgia"/>
                <w:b/>
                <w:bCs/>
              </w:rPr>
              <w:t>and to vary two or more leases by a majority</w:t>
            </w:r>
          </w:p>
        </w:tc>
      </w:tr>
      <w:tr w:rsidR="005C779D" w14:paraId="13ED9470" w14:textId="77777777" w:rsidTr="000D55AD">
        <w:tc>
          <w:tcPr>
            <w:tcW w:w="1750" w:type="pct"/>
          </w:tcPr>
          <w:p w14:paraId="4358DBA4" w14:textId="77777777" w:rsidR="005C779D" w:rsidRDefault="00993917" w:rsidP="000D55AD">
            <w:pPr>
              <w:widowControl w:val="0"/>
              <w:tabs>
                <w:tab w:val="left" w:pos="2880"/>
              </w:tabs>
              <w:spacing w:before="120" w:after="240"/>
              <w:rPr>
                <w:rFonts w:cs="Georgia"/>
                <w:b/>
                <w:bCs/>
              </w:rPr>
            </w:pPr>
            <w:r>
              <w:rPr>
                <w:rFonts w:cs="Georgia"/>
                <w:b/>
                <w:bCs/>
              </w:rPr>
              <w:t>Tribunal Members</w:t>
            </w:r>
          </w:p>
        </w:tc>
        <w:tc>
          <w:tcPr>
            <w:tcW w:w="339" w:type="pct"/>
          </w:tcPr>
          <w:p w14:paraId="42EF0BED" w14:textId="77777777" w:rsidR="005C779D" w:rsidRDefault="00993917" w:rsidP="000D55AD">
            <w:pPr>
              <w:widowControl w:val="0"/>
              <w:tabs>
                <w:tab w:val="left" w:pos="2880"/>
              </w:tabs>
              <w:spacing w:before="120" w:after="240"/>
              <w:rPr>
                <w:rFonts w:cs="Georgia"/>
                <w:b/>
                <w:bCs/>
              </w:rPr>
            </w:pPr>
            <w:r>
              <w:rPr>
                <w:rFonts w:cs="Georgia"/>
                <w:b/>
                <w:bCs/>
              </w:rPr>
              <w:t>:</w:t>
            </w:r>
          </w:p>
        </w:tc>
        <w:tc>
          <w:tcPr>
            <w:tcW w:w="2911" w:type="pct"/>
          </w:tcPr>
          <w:p w14:paraId="1A0FCE27" w14:textId="77777777" w:rsidR="005C779D" w:rsidRDefault="002B3A50" w:rsidP="000D55AD">
            <w:pPr>
              <w:widowControl w:val="0"/>
              <w:tabs>
                <w:tab w:val="left" w:pos="2880"/>
              </w:tabs>
              <w:spacing w:before="120" w:after="240"/>
              <w:rPr>
                <w:rFonts w:cs="Georgia"/>
                <w:b/>
                <w:bCs/>
              </w:rPr>
            </w:pPr>
            <w:r w:rsidRPr="002B3A50">
              <w:rPr>
                <w:rFonts w:cs="Georgia"/>
                <w:b/>
                <w:bCs/>
              </w:rPr>
              <w:t>Tribu</w:t>
            </w:r>
            <w:r>
              <w:rPr>
                <w:rFonts w:cs="Georgia"/>
                <w:b/>
                <w:bCs/>
              </w:rPr>
              <w:t xml:space="preserve">nal Judge </w:t>
            </w:r>
            <w:r w:rsidR="004B7B5C">
              <w:rPr>
                <w:rFonts w:cs="Georgia"/>
                <w:b/>
                <w:bCs/>
              </w:rPr>
              <w:t>Roger Cohen</w:t>
            </w:r>
          </w:p>
          <w:p w14:paraId="14F19BAA" w14:textId="54730A5A" w:rsidR="004B7B5C" w:rsidRDefault="00CE2C84" w:rsidP="000D55AD">
            <w:pPr>
              <w:widowControl w:val="0"/>
              <w:tabs>
                <w:tab w:val="left" w:pos="2880"/>
              </w:tabs>
              <w:spacing w:before="120" w:after="240"/>
              <w:rPr>
                <w:rFonts w:cs="Georgia"/>
                <w:b/>
                <w:bCs/>
              </w:rPr>
            </w:pPr>
            <w:r>
              <w:rPr>
                <w:rFonts w:cs="Georgia"/>
                <w:b/>
                <w:bCs/>
              </w:rPr>
              <w:t>Tribunal Member Alison Flynn</w:t>
            </w:r>
            <w:r w:rsidR="0097704C">
              <w:rPr>
                <w:rFonts w:cs="Georgia"/>
                <w:b/>
                <w:bCs/>
              </w:rPr>
              <w:t xml:space="preserve"> MA M</w:t>
            </w:r>
            <w:r w:rsidR="00740FAB">
              <w:rPr>
                <w:rFonts w:cs="Georgia"/>
                <w:b/>
                <w:bCs/>
              </w:rPr>
              <w:t>RICS</w:t>
            </w:r>
            <w:r w:rsidR="00AD395F">
              <w:rPr>
                <w:rFonts w:cs="Georgia"/>
                <w:b/>
                <w:bCs/>
              </w:rPr>
              <w:t xml:space="preserve"> </w:t>
            </w:r>
          </w:p>
        </w:tc>
      </w:tr>
      <w:tr w:rsidR="005C779D" w14:paraId="14A29BDF" w14:textId="77777777" w:rsidTr="000D55AD">
        <w:tc>
          <w:tcPr>
            <w:tcW w:w="1750" w:type="pct"/>
          </w:tcPr>
          <w:p w14:paraId="1C6451B3" w14:textId="7083AE54" w:rsidR="005C779D" w:rsidRDefault="009E648D" w:rsidP="000D55AD">
            <w:pPr>
              <w:widowControl w:val="0"/>
              <w:tabs>
                <w:tab w:val="left" w:pos="2880"/>
              </w:tabs>
              <w:spacing w:before="120" w:after="240"/>
              <w:rPr>
                <w:rFonts w:cs="Georgia"/>
                <w:b/>
                <w:bCs/>
              </w:rPr>
            </w:pPr>
            <w:r>
              <w:rPr>
                <w:rFonts w:cs="Georgia"/>
                <w:b/>
                <w:bCs/>
              </w:rPr>
              <w:t xml:space="preserve">Date </w:t>
            </w:r>
            <w:r w:rsidR="00993917">
              <w:rPr>
                <w:rFonts w:cs="Georgia"/>
                <w:b/>
                <w:bCs/>
              </w:rPr>
              <w:t>of hearing</w:t>
            </w:r>
          </w:p>
        </w:tc>
        <w:tc>
          <w:tcPr>
            <w:tcW w:w="339" w:type="pct"/>
          </w:tcPr>
          <w:p w14:paraId="4F9EFEAB" w14:textId="77777777" w:rsidR="005C779D" w:rsidRDefault="00993917" w:rsidP="000D55AD">
            <w:pPr>
              <w:widowControl w:val="0"/>
              <w:tabs>
                <w:tab w:val="left" w:pos="2880"/>
              </w:tabs>
              <w:spacing w:before="120" w:after="240"/>
              <w:rPr>
                <w:rFonts w:cs="Georgia"/>
                <w:b/>
                <w:bCs/>
              </w:rPr>
            </w:pPr>
            <w:r>
              <w:rPr>
                <w:rFonts w:cs="Georgia"/>
                <w:b/>
                <w:bCs/>
              </w:rPr>
              <w:t>:</w:t>
            </w:r>
          </w:p>
        </w:tc>
        <w:tc>
          <w:tcPr>
            <w:tcW w:w="2911" w:type="pct"/>
          </w:tcPr>
          <w:p w14:paraId="219CBA45" w14:textId="2866E1AD" w:rsidR="005C779D" w:rsidRDefault="00D32A21" w:rsidP="00A94F83">
            <w:pPr>
              <w:widowControl w:val="0"/>
              <w:tabs>
                <w:tab w:val="left" w:pos="2880"/>
              </w:tabs>
              <w:spacing w:before="120" w:after="240"/>
              <w:rPr>
                <w:rFonts w:cs="Georgia"/>
                <w:b/>
                <w:bCs/>
              </w:rPr>
            </w:pPr>
            <w:r>
              <w:rPr>
                <w:rFonts w:cs="Arial"/>
                <w:b/>
                <w:bCs/>
              </w:rPr>
              <w:t xml:space="preserve">21 </w:t>
            </w:r>
            <w:r w:rsidR="00A94F83">
              <w:rPr>
                <w:rFonts w:cs="Arial"/>
                <w:b/>
                <w:bCs/>
              </w:rPr>
              <w:t>A</w:t>
            </w:r>
            <w:r>
              <w:rPr>
                <w:rFonts w:cs="Arial"/>
                <w:b/>
                <w:bCs/>
              </w:rPr>
              <w:t>ugust 2</w:t>
            </w:r>
            <w:r w:rsidR="00CE2C84">
              <w:rPr>
                <w:rFonts w:cs="Arial"/>
                <w:b/>
                <w:bCs/>
              </w:rPr>
              <w:t>023</w:t>
            </w:r>
          </w:p>
        </w:tc>
      </w:tr>
      <w:tr w:rsidR="005C779D" w14:paraId="094A76DC" w14:textId="77777777" w:rsidTr="000D55AD">
        <w:tc>
          <w:tcPr>
            <w:tcW w:w="1750" w:type="pct"/>
          </w:tcPr>
          <w:p w14:paraId="3D427355" w14:textId="77777777" w:rsidR="005C779D" w:rsidRDefault="00993917" w:rsidP="000D55AD">
            <w:pPr>
              <w:widowControl w:val="0"/>
              <w:tabs>
                <w:tab w:val="left" w:pos="2880"/>
              </w:tabs>
              <w:spacing w:before="120" w:after="240"/>
              <w:rPr>
                <w:rFonts w:cs="Georgia"/>
                <w:b/>
                <w:bCs/>
              </w:rPr>
            </w:pPr>
            <w:r>
              <w:rPr>
                <w:rFonts w:cs="Georgia"/>
                <w:b/>
                <w:bCs/>
              </w:rPr>
              <w:t>Date of Decision</w:t>
            </w:r>
          </w:p>
        </w:tc>
        <w:tc>
          <w:tcPr>
            <w:tcW w:w="339" w:type="pct"/>
          </w:tcPr>
          <w:p w14:paraId="394F5BFF" w14:textId="77777777" w:rsidR="005C779D" w:rsidRDefault="00993917" w:rsidP="000D55AD">
            <w:pPr>
              <w:widowControl w:val="0"/>
              <w:tabs>
                <w:tab w:val="left" w:pos="2880"/>
              </w:tabs>
              <w:spacing w:before="120" w:after="240"/>
              <w:rPr>
                <w:rFonts w:cs="Georgia"/>
                <w:b/>
                <w:bCs/>
              </w:rPr>
            </w:pPr>
            <w:r>
              <w:rPr>
                <w:rFonts w:cs="Georgia"/>
                <w:b/>
                <w:bCs/>
              </w:rPr>
              <w:t>:</w:t>
            </w:r>
          </w:p>
        </w:tc>
        <w:tc>
          <w:tcPr>
            <w:tcW w:w="2911" w:type="pct"/>
          </w:tcPr>
          <w:p w14:paraId="624EB64F" w14:textId="05056164" w:rsidR="005C779D" w:rsidRDefault="00D32A21" w:rsidP="00D32A21">
            <w:pPr>
              <w:widowControl w:val="0"/>
              <w:tabs>
                <w:tab w:val="left" w:pos="2880"/>
              </w:tabs>
              <w:spacing w:before="120" w:after="240"/>
              <w:rPr>
                <w:rFonts w:cs="Georgia"/>
                <w:b/>
                <w:bCs/>
              </w:rPr>
            </w:pPr>
            <w:r>
              <w:rPr>
                <w:rFonts w:cs="Georgia"/>
                <w:b/>
                <w:bCs/>
              </w:rPr>
              <w:t xml:space="preserve"> </w:t>
            </w:r>
            <w:r w:rsidR="003F13ED">
              <w:rPr>
                <w:rFonts w:cs="Georgia"/>
                <w:b/>
                <w:bCs/>
              </w:rPr>
              <w:t xml:space="preserve"> 26 </w:t>
            </w:r>
            <w:r>
              <w:rPr>
                <w:rFonts w:cs="Georgia"/>
                <w:b/>
                <w:bCs/>
              </w:rPr>
              <w:t xml:space="preserve">September </w:t>
            </w:r>
            <w:r w:rsidR="00CE2C84">
              <w:rPr>
                <w:rFonts w:cs="Georgia"/>
                <w:b/>
                <w:bCs/>
              </w:rPr>
              <w:t>2023</w:t>
            </w:r>
          </w:p>
          <w:p w14:paraId="3489107E" w14:textId="219CF5E1" w:rsidR="00803D99" w:rsidRDefault="00803D99" w:rsidP="00D32A21">
            <w:pPr>
              <w:widowControl w:val="0"/>
              <w:tabs>
                <w:tab w:val="left" w:pos="2880"/>
              </w:tabs>
              <w:spacing w:before="120" w:after="240"/>
              <w:rPr>
                <w:rFonts w:cs="Georgia"/>
                <w:b/>
                <w:bCs/>
              </w:rPr>
            </w:pPr>
            <w:r w:rsidRPr="00803D99">
              <w:rPr>
                <w:rFonts w:cs="Georgia"/>
                <w:b/>
                <w:bCs/>
                <w:color w:val="FF0000"/>
              </w:rPr>
              <w:t>Amended on 11</w:t>
            </w:r>
            <w:r w:rsidR="002147C4">
              <w:rPr>
                <w:rFonts w:cs="Georgia"/>
                <w:b/>
                <w:bCs/>
                <w:color w:val="FF0000"/>
              </w:rPr>
              <w:t xml:space="preserve"> &amp; 29</w:t>
            </w:r>
            <w:r w:rsidRPr="00803D99">
              <w:rPr>
                <w:rFonts w:cs="Georgia"/>
                <w:b/>
                <w:bCs/>
                <w:color w:val="FF0000"/>
              </w:rPr>
              <w:t xml:space="preserve"> January 2024</w:t>
            </w:r>
            <w:r>
              <w:rPr>
                <w:rFonts w:cs="Georgia"/>
                <w:b/>
                <w:bCs/>
                <w:color w:val="FF0000"/>
              </w:rPr>
              <w:t xml:space="preserve"> pursuant to rule </w:t>
            </w:r>
            <w:r w:rsidR="00AF0871">
              <w:rPr>
                <w:rFonts w:cs="Georgia"/>
                <w:b/>
                <w:bCs/>
                <w:color w:val="FF0000"/>
              </w:rPr>
              <w:t>50</w:t>
            </w:r>
          </w:p>
        </w:tc>
      </w:tr>
    </w:tbl>
    <w:p w14:paraId="1361806F" w14:textId="77777777" w:rsidR="005C779D" w:rsidRDefault="005C779D">
      <w:pPr>
        <w:jc w:val="both"/>
      </w:pPr>
    </w:p>
    <w:tbl>
      <w:tblPr>
        <w:tblW w:w="4033" w:type="pct"/>
        <w:jc w:val="center"/>
        <w:tblLook w:val="01E0" w:firstRow="1" w:lastRow="1" w:firstColumn="1" w:lastColumn="1" w:noHBand="0" w:noVBand="0"/>
      </w:tblPr>
      <w:tblGrid>
        <w:gridCol w:w="7682"/>
      </w:tblGrid>
      <w:tr w:rsidR="005C779D" w14:paraId="02736BAA" w14:textId="77777777" w:rsidTr="001C5592">
        <w:trPr>
          <w:trHeight w:val="811"/>
          <w:jc w:val="center"/>
        </w:trPr>
        <w:tc>
          <w:tcPr>
            <w:tcW w:w="5000" w:type="pct"/>
            <w:tcBorders>
              <w:top w:val="single" w:sz="4" w:space="0" w:color="000000"/>
              <w:bottom w:val="single" w:sz="4" w:space="0" w:color="000000"/>
            </w:tcBorders>
            <w:vAlign w:val="center"/>
          </w:tcPr>
          <w:p w14:paraId="1E88D581" w14:textId="2E5FC2FA" w:rsidR="005C779D" w:rsidRDefault="00993917" w:rsidP="000D55AD">
            <w:pPr>
              <w:widowControl w:val="0"/>
              <w:spacing w:after="240"/>
              <w:jc w:val="center"/>
            </w:pPr>
            <w:r>
              <w:rPr>
                <w:rFonts w:cs="Georgia"/>
                <w:b/>
                <w:bCs/>
              </w:rPr>
              <w:t>DECISION</w:t>
            </w:r>
          </w:p>
        </w:tc>
      </w:tr>
    </w:tbl>
    <w:p w14:paraId="59AD0F96" w14:textId="77777777" w:rsidR="005C779D" w:rsidRPr="00A72F52" w:rsidRDefault="00993917">
      <w:pPr>
        <w:jc w:val="both"/>
        <w:rPr>
          <w:rFonts w:cs="Georgia"/>
          <w:sz w:val="32"/>
          <w:szCs w:val="32"/>
        </w:rPr>
      </w:pPr>
      <w:r>
        <w:br w:type="page"/>
      </w:r>
    </w:p>
    <w:p w14:paraId="44F03652" w14:textId="085E0B93" w:rsidR="00373E26" w:rsidRDefault="00940435" w:rsidP="001F20A1">
      <w:pPr>
        <w:keepNext/>
        <w:rPr>
          <w:b/>
          <w:bCs/>
          <w:u w:val="single"/>
        </w:rPr>
      </w:pPr>
      <w:r w:rsidRPr="00646C38">
        <w:rPr>
          <w:b/>
          <w:bCs/>
          <w:u w:val="single"/>
        </w:rPr>
        <w:lastRenderedPageBreak/>
        <w:t>DECISION</w:t>
      </w:r>
    </w:p>
    <w:p w14:paraId="307416CD" w14:textId="6F3AD620" w:rsidR="00F97F2A" w:rsidRDefault="00F97F2A" w:rsidP="001A5DE0">
      <w:pPr>
        <w:pStyle w:val="Heading1"/>
      </w:pPr>
      <w:r>
        <w:t>The former application</w:t>
      </w:r>
      <w:r w:rsidR="002C2548">
        <w:t xml:space="preserve"> (referred to below as </w:t>
      </w:r>
      <w:r w:rsidR="002C2548" w:rsidRPr="00937129">
        <w:rPr>
          <w:b/>
        </w:rPr>
        <w:t>case 186</w:t>
      </w:r>
      <w:r w:rsidR="002C2548">
        <w:t>)</w:t>
      </w:r>
      <w:r>
        <w:t xml:space="preserve"> is withdrawn without any order being made.</w:t>
      </w:r>
    </w:p>
    <w:p w14:paraId="31D15751" w14:textId="54A0169A" w:rsidR="00F97F2A" w:rsidRDefault="00F97F2A" w:rsidP="001A5DE0">
      <w:pPr>
        <w:pStyle w:val="Heading1"/>
      </w:pPr>
      <w:r w:rsidRPr="006F0281">
        <w:t>The latter application</w:t>
      </w:r>
      <w:r w:rsidR="002C2548">
        <w:t xml:space="preserve"> (referred </w:t>
      </w:r>
      <w:r w:rsidR="00937129">
        <w:t xml:space="preserve">to below as </w:t>
      </w:r>
      <w:r w:rsidR="00937129" w:rsidRPr="00937129">
        <w:rPr>
          <w:b/>
        </w:rPr>
        <w:t>case 3</w:t>
      </w:r>
      <w:r w:rsidR="00937129">
        <w:t>)</w:t>
      </w:r>
      <w:r w:rsidRPr="006F0281">
        <w:t xml:space="preserve"> is </w:t>
      </w:r>
      <w:r w:rsidR="006F0281">
        <w:t>dismissed</w:t>
      </w:r>
      <w:r w:rsidR="001A5DE0">
        <w:t>.</w:t>
      </w:r>
    </w:p>
    <w:p w14:paraId="376C879A" w14:textId="6674C123" w:rsidR="006F0281" w:rsidRPr="006F0281" w:rsidRDefault="006F0281" w:rsidP="006F0281">
      <w:pPr>
        <w:pStyle w:val="Heading1"/>
      </w:pPr>
      <w:r>
        <w:t>Directions are made as t</w:t>
      </w:r>
      <w:r w:rsidR="002C2548">
        <w:t>o</w:t>
      </w:r>
      <w:r>
        <w:t xml:space="preserve"> the Applicant’s application under section 20C Landlord and Tenant Act 1985.</w:t>
      </w:r>
    </w:p>
    <w:p w14:paraId="68695D18" w14:textId="26BABC4E" w:rsidR="001A5DE0" w:rsidRPr="00EC0648" w:rsidRDefault="001A5DE0" w:rsidP="007426E1">
      <w:pPr>
        <w:keepNext/>
        <w:rPr>
          <w:b/>
          <w:bCs/>
        </w:rPr>
      </w:pPr>
      <w:r w:rsidRPr="00EC0648">
        <w:rPr>
          <w:b/>
          <w:bCs/>
        </w:rPr>
        <w:t>BACKGROUND</w:t>
      </w:r>
    </w:p>
    <w:p w14:paraId="4D20F74B" w14:textId="02C181C1" w:rsidR="007B16B4" w:rsidRDefault="007B16B4" w:rsidP="001A5DE0">
      <w:pPr>
        <w:pStyle w:val="Heading1"/>
      </w:pPr>
      <w:r>
        <w:t>On 27 May. 2022</w:t>
      </w:r>
      <w:r w:rsidR="006064D9">
        <w:t>,</w:t>
      </w:r>
      <w:r w:rsidRPr="3194C9D0">
        <w:t xml:space="preserve"> Duchess</w:t>
      </w:r>
      <w:r>
        <w:t xml:space="preserve"> Home Ltd (“</w:t>
      </w:r>
      <w:r w:rsidRPr="007B16B4">
        <w:rPr>
          <w:b/>
        </w:rPr>
        <w:t>Duchess</w:t>
      </w:r>
      <w:r w:rsidRPr="007B16B4">
        <w:t>”)</w:t>
      </w:r>
      <w:r>
        <w:t xml:space="preserve"> applied to the tribunal for </w:t>
      </w:r>
      <w:r w:rsidRPr="3194C9D0">
        <w:t>determination</w:t>
      </w:r>
      <w:r w:rsidR="00ED212F">
        <w:t>s</w:t>
      </w:r>
      <w:r>
        <w:t xml:space="preserve"> </w:t>
      </w:r>
      <w:r w:rsidR="00ED212F">
        <w:t>as to</w:t>
      </w:r>
      <w:r>
        <w:t xml:space="preserve"> its</w:t>
      </w:r>
      <w:r w:rsidRPr="3194C9D0">
        <w:t xml:space="preserve"> liability to pay and </w:t>
      </w:r>
      <w:r>
        <w:t xml:space="preserve">the </w:t>
      </w:r>
      <w:r w:rsidRPr="3194C9D0">
        <w:t>re</w:t>
      </w:r>
      <w:r>
        <w:t>asonableness of service charges in respect of its leases of flats 5 and 11 Book Centre Man</w:t>
      </w:r>
      <w:r w:rsidR="00C719A4">
        <w:t>sion</w:t>
      </w:r>
      <w:r w:rsidR="00ED212F">
        <w:t>s</w:t>
      </w:r>
      <w:r w:rsidR="00C719A4">
        <w:t>, North Circular Road Londo</w:t>
      </w:r>
      <w:r>
        <w:t>n NW10.</w:t>
      </w:r>
      <w:r w:rsidR="00EC0648">
        <w:t xml:space="preserve"> The flats will be referred to as “</w:t>
      </w:r>
      <w:r w:rsidR="00EC0648" w:rsidRPr="00EC0648">
        <w:rPr>
          <w:b/>
        </w:rPr>
        <w:t>the Properties</w:t>
      </w:r>
      <w:r w:rsidR="00EC0648">
        <w:t>” and Book Centre Mansions as “</w:t>
      </w:r>
      <w:r w:rsidR="00EC0648" w:rsidRPr="00EC0648">
        <w:rPr>
          <w:b/>
        </w:rPr>
        <w:t>the Building</w:t>
      </w:r>
      <w:r w:rsidR="00EC0648">
        <w:t>”.</w:t>
      </w:r>
    </w:p>
    <w:p w14:paraId="04BBE57F" w14:textId="148FAA0D" w:rsidR="007B16B4" w:rsidRDefault="007B16B4" w:rsidP="001A5DE0">
      <w:pPr>
        <w:pStyle w:val="Heading1"/>
      </w:pPr>
      <w:r w:rsidRPr="3194C9D0">
        <w:t>The</w:t>
      </w:r>
      <w:r>
        <w:t xml:space="preserve"> a</w:t>
      </w:r>
      <w:r w:rsidRPr="3194C9D0">
        <w:t>pplication</w:t>
      </w:r>
      <w:r w:rsidR="00A72F52">
        <w:t xml:space="preserve"> w</w:t>
      </w:r>
      <w:r w:rsidRPr="3194C9D0">
        <w:t>as made against</w:t>
      </w:r>
      <w:r w:rsidR="00A72F52">
        <w:t xml:space="preserve"> t</w:t>
      </w:r>
      <w:r w:rsidRPr="3194C9D0">
        <w:t>he landlord,</w:t>
      </w:r>
      <w:r w:rsidR="002C2548">
        <w:t xml:space="preserve"> </w:t>
      </w:r>
      <w:r w:rsidRPr="3194C9D0">
        <w:t>Twin</w:t>
      </w:r>
      <w:r w:rsidR="00A72F52">
        <w:t>c</w:t>
      </w:r>
      <w:r w:rsidRPr="3194C9D0">
        <w:t>ross. Investments L</w:t>
      </w:r>
      <w:r w:rsidR="00A72F52">
        <w:t>td (“</w:t>
      </w:r>
      <w:r w:rsidR="00A72F52" w:rsidRPr="00A72F52">
        <w:rPr>
          <w:b/>
        </w:rPr>
        <w:t>Twincross</w:t>
      </w:r>
      <w:r w:rsidR="00A72F52">
        <w:t>”).</w:t>
      </w:r>
    </w:p>
    <w:p w14:paraId="375FE62B" w14:textId="109296A5" w:rsidR="007B16B4" w:rsidRDefault="00A72F52" w:rsidP="007426E1">
      <w:pPr>
        <w:pStyle w:val="Heading1"/>
      </w:pPr>
      <w:r>
        <w:t xml:space="preserve">Duchess applied to </w:t>
      </w:r>
      <w:r w:rsidR="006064D9">
        <w:t xml:space="preserve">the </w:t>
      </w:r>
      <w:r w:rsidR="006064D9" w:rsidRPr="71501987">
        <w:t>tribunal</w:t>
      </w:r>
      <w:r w:rsidR="001038B6">
        <w:t xml:space="preserve"> </w:t>
      </w:r>
      <w:r w:rsidR="00935F49">
        <w:t>u</w:t>
      </w:r>
      <w:r w:rsidR="001038B6" w:rsidRPr="3194C9D0">
        <w:t xml:space="preserve">nder section 27A </w:t>
      </w:r>
      <w:r w:rsidR="007426E1">
        <w:t>o</w:t>
      </w:r>
      <w:r w:rsidR="001038B6" w:rsidRPr="3194C9D0">
        <w:t>f the Landlord and Tenant Act, 1985</w:t>
      </w:r>
      <w:r w:rsidR="001038B6">
        <w:t xml:space="preserve"> </w:t>
      </w:r>
      <w:r>
        <w:t>t</w:t>
      </w:r>
      <w:r w:rsidR="007B16B4" w:rsidRPr="71501987">
        <w:t>o consider</w:t>
      </w:r>
      <w:r>
        <w:t xml:space="preserve"> t</w:t>
      </w:r>
      <w:r w:rsidR="007B16B4" w:rsidRPr="71501987">
        <w:t xml:space="preserve">he </w:t>
      </w:r>
      <w:r>
        <w:t>servic</w:t>
      </w:r>
      <w:r w:rsidR="007B16B4" w:rsidRPr="71501987">
        <w:t>e charges</w:t>
      </w:r>
      <w:r>
        <w:t xml:space="preserve"> for </w:t>
      </w:r>
      <w:r w:rsidR="006064D9">
        <w:t>each</w:t>
      </w:r>
      <w:r>
        <w:t xml:space="preserve"> of the service charge years from the year ending 31 December 2018 up to and including the year ending 31 December 2022</w:t>
      </w:r>
      <w:r w:rsidR="007B16B4" w:rsidRPr="71501987">
        <w:t xml:space="preserve"> </w:t>
      </w:r>
      <w:r>
        <w:t xml:space="preserve">and </w:t>
      </w:r>
      <w:r w:rsidR="007B16B4" w:rsidRPr="71501987">
        <w:t xml:space="preserve">the current </w:t>
      </w:r>
      <w:r>
        <w:t>year</w:t>
      </w:r>
      <w:r w:rsidR="00ED212F">
        <w:t>,</w:t>
      </w:r>
      <w:r>
        <w:t xml:space="preserve"> ending 31 December 2023.</w:t>
      </w:r>
    </w:p>
    <w:p w14:paraId="21AB914E" w14:textId="2613CF2F" w:rsidR="007B16B4" w:rsidRDefault="00A72F52" w:rsidP="001A5DE0">
      <w:pPr>
        <w:pStyle w:val="Heading1"/>
      </w:pPr>
      <w:r>
        <w:t>This application is that</w:t>
      </w:r>
      <w:r w:rsidR="001038B6">
        <w:t xml:space="preserve"> under case reference </w:t>
      </w:r>
      <w:r w:rsidR="001038B6">
        <w:rPr>
          <w:rFonts w:cs="Georgia"/>
          <w:b/>
          <w:bCs/>
        </w:rPr>
        <w:t>LON/OOAE/LSC/2022/0186 (“case 1</w:t>
      </w:r>
      <w:r w:rsidR="00116DC2">
        <w:rPr>
          <w:rFonts w:cs="Georgia"/>
          <w:b/>
          <w:bCs/>
        </w:rPr>
        <w:t>8</w:t>
      </w:r>
      <w:r w:rsidR="001038B6">
        <w:rPr>
          <w:rFonts w:cs="Georgia"/>
          <w:b/>
          <w:bCs/>
        </w:rPr>
        <w:t>6”).</w:t>
      </w:r>
    </w:p>
    <w:p w14:paraId="306BA9CA" w14:textId="62D96CE2" w:rsidR="00116DC2" w:rsidRPr="006064D9" w:rsidRDefault="007B16B4" w:rsidP="001A5DE0">
      <w:pPr>
        <w:pStyle w:val="Heading1"/>
      </w:pPr>
      <w:r w:rsidRPr="3194C9D0">
        <w:t xml:space="preserve">On 21 February 2023 </w:t>
      </w:r>
      <w:r w:rsidR="001038B6">
        <w:t>Duchess applied t</w:t>
      </w:r>
      <w:r w:rsidRPr="3194C9D0">
        <w:t>o the tribunal</w:t>
      </w:r>
      <w:r w:rsidR="00A94F83">
        <w:t xml:space="preserve"> for </w:t>
      </w:r>
      <w:r w:rsidRPr="3194C9D0">
        <w:t>variation</w:t>
      </w:r>
      <w:r w:rsidR="001038B6">
        <w:t xml:space="preserve">s of the service charge provisions in its </w:t>
      </w:r>
      <w:r w:rsidR="007426E1">
        <w:t>leases.</w:t>
      </w:r>
      <w:r w:rsidR="007426E1" w:rsidRPr="3194C9D0">
        <w:t xml:space="preserve"> The</w:t>
      </w:r>
      <w:r w:rsidRPr="3194C9D0">
        <w:t xml:space="preserve"> application</w:t>
      </w:r>
      <w:r w:rsidR="001038B6">
        <w:t xml:space="preserve"> w</w:t>
      </w:r>
      <w:r w:rsidRPr="3194C9D0">
        <w:t>as made against Twin</w:t>
      </w:r>
      <w:r w:rsidR="001038B6">
        <w:t>c</w:t>
      </w:r>
      <w:r w:rsidRPr="3194C9D0">
        <w:t>ross</w:t>
      </w:r>
      <w:r w:rsidR="00116DC2">
        <w:t xml:space="preserve"> and </w:t>
      </w:r>
      <w:r w:rsidR="002E103A">
        <w:t xml:space="preserve">is </w:t>
      </w:r>
      <w:r w:rsidR="00116DC2">
        <w:t>proceed</w:t>
      </w:r>
      <w:r w:rsidR="00935F49">
        <w:t>ing</w:t>
      </w:r>
      <w:r w:rsidR="00116DC2">
        <w:t xml:space="preserve"> under case reference number </w:t>
      </w:r>
      <w:r w:rsidR="00116DC2">
        <w:rPr>
          <w:rFonts w:cs="Georgia"/>
          <w:b/>
          <w:bCs/>
        </w:rPr>
        <w:t>LON/OOAE/LVT/2023/0003 (“case 3”).</w:t>
      </w:r>
      <w:r w:rsidR="006064D9">
        <w:rPr>
          <w:rFonts w:cs="Georgia"/>
          <w:b/>
          <w:bCs/>
        </w:rPr>
        <w:t xml:space="preserve"> </w:t>
      </w:r>
      <w:r w:rsidR="006064D9" w:rsidRPr="006064D9">
        <w:rPr>
          <w:rFonts w:cs="Georgia"/>
          <w:bCs/>
        </w:rPr>
        <w:t>The application form</w:t>
      </w:r>
      <w:r w:rsidR="006064D9">
        <w:rPr>
          <w:rFonts w:cs="Georgia"/>
          <w:bCs/>
        </w:rPr>
        <w:t xml:space="preserve"> completed on behalf of Duchess was apt for applications under any of sections 35,</w:t>
      </w:r>
      <w:r w:rsidR="00A94F83">
        <w:rPr>
          <w:rFonts w:cs="Georgia"/>
          <w:bCs/>
        </w:rPr>
        <w:t xml:space="preserve"> </w:t>
      </w:r>
      <w:r w:rsidR="006064D9">
        <w:rPr>
          <w:rFonts w:cs="Georgia"/>
          <w:bCs/>
        </w:rPr>
        <w:t>36, 37 and 38 of the Landlord and Tenant Act 1987 (“the 1987 Act”). Duchess did not stipulate on the application form on which section it relied.</w:t>
      </w:r>
    </w:p>
    <w:p w14:paraId="6457D156" w14:textId="5BA460A1" w:rsidR="00193C5A" w:rsidRDefault="00116DC2" w:rsidP="00A94F83">
      <w:pPr>
        <w:pStyle w:val="Heading1"/>
      </w:pPr>
      <w:r>
        <w:t>Duchess also made applications under S</w:t>
      </w:r>
      <w:r w:rsidR="007B16B4" w:rsidRPr="71501987">
        <w:t>ection 20C Landlord and Tenant 1985 for order</w:t>
      </w:r>
      <w:r>
        <w:t>s l</w:t>
      </w:r>
      <w:r w:rsidR="007B16B4" w:rsidRPr="71501987">
        <w:t xml:space="preserve">imiting </w:t>
      </w:r>
      <w:r w:rsidR="002E103A">
        <w:t xml:space="preserve">the </w:t>
      </w:r>
      <w:r w:rsidR="007B16B4" w:rsidRPr="71501987">
        <w:t xml:space="preserve">payment of landlord's </w:t>
      </w:r>
      <w:r w:rsidR="006064D9">
        <w:t xml:space="preserve">costs. </w:t>
      </w:r>
    </w:p>
    <w:p w14:paraId="2FB96296" w14:textId="72BA9AC7" w:rsidR="00193C5A" w:rsidRDefault="00193C5A" w:rsidP="001A5DE0">
      <w:pPr>
        <w:pStyle w:val="Heading1"/>
      </w:pPr>
      <w:r>
        <w:t xml:space="preserve">Directions were made by the tribunal concerning case 186 on 27 July 2022, 18 January 2023 and 7 February 2023. The upshot was that case 186 was directed to be heard at a face to face or in </w:t>
      </w:r>
      <w:r w:rsidR="007426E1">
        <w:t>person</w:t>
      </w:r>
      <w:r>
        <w:t xml:space="preserve"> hearing with a time estimate of up to one day on 21 August 2023.</w:t>
      </w:r>
    </w:p>
    <w:p w14:paraId="2FE75D7B" w14:textId="120E7E37" w:rsidR="00193C5A" w:rsidRDefault="00193C5A" w:rsidP="001A5DE0">
      <w:pPr>
        <w:pStyle w:val="Heading1"/>
      </w:pPr>
      <w:r>
        <w:t xml:space="preserve">Directions were made by the tribunal concerning case 3 on 10 May 2023. The tribunal directed that case 3 was to be heard at the same hearing with case 186. </w:t>
      </w:r>
    </w:p>
    <w:p w14:paraId="510CCE75" w14:textId="17E0E895" w:rsidR="00193C5A" w:rsidRDefault="00193C5A" w:rsidP="001A5DE0">
      <w:pPr>
        <w:pStyle w:val="Heading1"/>
      </w:pPr>
      <w:r>
        <w:t xml:space="preserve">In neither case was an inspection of the property directed before the </w:t>
      </w:r>
      <w:r w:rsidR="007426E1">
        <w:t>hearing</w:t>
      </w:r>
      <w:r>
        <w:t>. No request for an inspection was made at the hearing</w:t>
      </w:r>
      <w:r w:rsidR="002E103A">
        <w:t>. T</w:t>
      </w:r>
      <w:r>
        <w:t xml:space="preserve">he tribunal at the hearing </w:t>
      </w:r>
      <w:r w:rsidR="002E103A">
        <w:t xml:space="preserve">did not </w:t>
      </w:r>
      <w:r>
        <w:t>consider an inspection to be necessary.</w:t>
      </w:r>
      <w:r w:rsidR="002E103A">
        <w:t xml:space="preserve"> Accordingly, no inspection took place.</w:t>
      </w:r>
    </w:p>
    <w:p w14:paraId="432EAC5D" w14:textId="4AFB6C5A" w:rsidR="00A2441F" w:rsidRDefault="008D1ADB" w:rsidP="001A5DE0">
      <w:pPr>
        <w:pStyle w:val="Heading1"/>
        <w:rPr>
          <w:rFonts w:cs="Georgia"/>
          <w:bCs/>
        </w:rPr>
      </w:pPr>
      <w:r>
        <w:t xml:space="preserve">At the outset of the hearing, Mr Aron Sanger who appeared as a director of Twincross and its representative informed </w:t>
      </w:r>
      <w:r w:rsidRPr="008D1ADB">
        <w:rPr>
          <w:rFonts w:cs="Georgia"/>
          <w:bCs/>
        </w:rPr>
        <w:t>Ms Ebele Muorah</w:t>
      </w:r>
      <w:r>
        <w:rPr>
          <w:rFonts w:cs="Georgia"/>
          <w:bCs/>
        </w:rPr>
        <w:t xml:space="preserve"> who appeared </w:t>
      </w:r>
      <w:r w:rsidRPr="00803D99">
        <w:rPr>
          <w:rFonts w:cs="Georgia"/>
          <w:bCs/>
          <w:strike/>
          <w:color w:val="FF0000"/>
        </w:rPr>
        <w:t>as a director</w:t>
      </w:r>
      <w:r w:rsidR="000C3E4C" w:rsidRPr="00803D99">
        <w:rPr>
          <w:rFonts w:cs="Georgia"/>
          <w:bCs/>
          <w:color w:val="FF0000"/>
        </w:rPr>
        <w:t xml:space="preserve"> on behal</w:t>
      </w:r>
      <w:r w:rsidR="00803D99" w:rsidRPr="00803D99">
        <w:rPr>
          <w:rFonts w:cs="Georgia"/>
          <w:bCs/>
          <w:color w:val="FF0000"/>
        </w:rPr>
        <w:t>f</w:t>
      </w:r>
      <w:r>
        <w:rPr>
          <w:rFonts w:cs="Georgia"/>
          <w:bCs/>
        </w:rPr>
        <w:t xml:space="preserve"> of Duchess and its representative that, following a change of managing agents </w:t>
      </w:r>
      <w:r>
        <w:rPr>
          <w:rFonts w:cs="Georgia"/>
          <w:bCs/>
        </w:rPr>
        <w:lastRenderedPageBreak/>
        <w:t xml:space="preserve">early in 2023, </w:t>
      </w:r>
      <w:r w:rsidR="00ED212F">
        <w:rPr>
          <w:rFonts w:cs="Georgia"/>
          <w:bCs/>
        </w:rPr>
        <w:t xml:space="preserve">Twincross waived </w:t>
      </w:r>
      <w:r>
        <w:rPr>
          <w:rFonts w:cs="Georgia"/>
          <w:bCs/>
        </w:rPr>
        <w:t>service charges</w:t>
      </w:r>
      <w:r w:rsidR="002E103A">
        <w:rPr>
          <w:rFonts w:cs="Georgia"/>
          <w:bCs/>
        </w:rPr>
        <w:t xml:space="preserve"> claimed</w:t>
      </w:r>
      <w:r>
        <w:rPr>
          <w:rFonts w:cs="Georgia"/>
          <w:bCs/>
        </w:rPr>
        <w:t xml:space="preserve"> </w:t>
      </w:r>
      <w:r w:rsidR="00A2441F">
        <w:rPr>
          <w:rFonts w:cs="Georgia"/>
          <w:bCs/>
        </w:rPr>
        <w:t>for the period up to and including 31 December 2022</w:t>
      </w:r>
      <w:r w:rsidR="00497D5C">
        <w:rPr>
          <w:rFonts w:cs="Georgia"/>
          <w:bCs/>
        </w:rPr>
        <w:t>. Accordingly,</w:t>
      </w:r>
      <w:r w:rsidR="00A2441F">
        <w:rPr>
          <w:rFonts w:cs="Georgia"/>
          <w:bCs/>
        </w:rPr>
        <w:t xml:space="preserve"> no amounts would be due</w:t>
      </w:r>
      <w:r w:rsidR="00ED212F">
        <w:rPr>
          <w:rFonts w:cs="Georgia"/>
          <w:bCs/>
        </w:rPr>
        <w:t xml:space="preserve"> for services</w:t>
      </w:r>
      <w:r w:rsidR="00A2441F">
        <w:rPr>
          <w:rFonts w:cs="Georgia"/>
          <w:bCs/>
        </w:rPr>
        <w:t xml:space="preserve"> up to </w:t>
      </w:r>
      <w:r w:rsidR="00ED212F">
        <w:rPr>
          <w:rFonts w:cs="Georgia"/>
          <w:bCs/>
        </w:rPr>
        <w:t>31 December 2022</w:t>
      </w:r>
      <w:r w:rsidR="00A2441F">
        <w:rPr>
          <w:rFonts w:cs="Georgia"/>
          <w:bCs/>
        </w:rPr>
        <w:t>. In reliance on that statement from Mr Sange</w:t>
      </w:r>
      <w:r w:rsidR="002E103A">
        <w:rPr>
          <w:rFonts w:cs="Georgia"/>
          <w:bCs/>
        </w:rPr>
        <w:t xml:space="preserve">r on behalf of Twincross, Ms Muorah on behalf of </w:t>
      </w:r>
      <w:r w:rsidR="00EA62C9">
        <w:rPr>
          <w:rFonts w:cs="Georgia"/>
          <w:bCs/>
        </w:rPr>
        <w:t>Duchess agreed</w:t>
      </w:r>
      <w:r w:rsidR="00A2441F">
        <w:rPr>
          <w:rFonts w:cs="Georgia"/>
          <w:bCs/>
        </w:rPr>
        <w:t xml:space="preserve"> that case 186 could be withdrawn. The tribunal agreed to make no order on this application</w:t>
      </w:r>
      <w:r w:rsidR="00ED212F">
        <w:rPr>
          <w:rFonts w:cs="Georgia"/>
          <w:bCs/>
        </w:rPr>
        <w:t>.</w:t>
      </w:r>
    </w:p>
    <w:p w14:paraId="0405A70E" w14:textId="77777777" w:rsidR="00EC0648" w:rsidRDefault="00EC0648" w:rsidP="001A5DE0">
      <w:pPr>
        <w:pStyle w:val="Heading1"/>
        <w:rPr>
          <w:rFonts w:cs="Georgia"/>
          <w:bCs/>
        </w:rPr>
      </w:pPr>
      <w:r>
        <w:rPr>
          <w:rFonts w:cs="Georgia"/>
          <w:bCs/>
        </w:rPr>
        <w:t>Mr Sanger informed the tribunal that t</w:t>
      </w:r>
      <w:r w:rsidR="00497D5C">
        <w:rPr>
          <w:rFonts w:cs="Georgia"/>
          <w:bCs/>
        </w:rPr>
        <w:t>he managing agents appointed by Twincross early in 2023 are a firm called Nextgen.</w:t>
      </w:r>
    </w:p>
    <w:p w14:paraId="0268E136" w14:textId="47D1DADE" w:rsidR="00497D5C" w:rsidRDefault="00497D5C" w:rsidP="001A5DE0">
      <w:pPr>
        <w:pStyle w:val="Heading1"/>
        <w:rPr>
          <w:rFonts w:cs="Georgia"/>
          <w:bCs/>
        </w:rPr>
      </w:pPr>
      <w:r>
        <w:rPr>
          <w:rFonts w:cs="Georgia"/>
          <w:bCs/>
        </w:rPr>
        <w:t xml:space="preserve"> </w:t>
      </w:r>
      <w:r w:rsidR="00EC0648">
        <w:rPr>
          <w:rFonts w:cs="Georgia"/>
          <w:bCs/>
        </w:rPr>
        <w:t>If</w:t>
      </w:r>
      <w:r>
        <w:rPr>
          <w:rFonts w:cs="Georgia"/>
          <w:bCs/>
        </w:rPr>
        <w:t xml:space="preserve"> there is any dispute between Duchess and Twincross as to the level of service charges for the service charge year ending 31 December 2023, that dispute can be made the subject of a fresh application to the tribunal.</w:t>
      </w:r>
    </w:p>
    <w:p w14:paraId="0E0F2D5A" w14:textId="377A99E1" w:rsidR="00A2441F" w:rsidRDefault="00A2441F" w:rsidP="001A5DE0">
      <w:pPr>
        <w:pStyle w:val="Heading1"/>
        <w:rPr>
          <w:rFonts w:cs="Georgia"/>
          <w:bCs/>
        </w:rPr>
      </w:pPr>
      <w:r>
        <w:rPr>
          <w:rFonts w:cs="Georgia"/>
          <w:bCs/>
        </w:rPr>
        <w:t xml:space="preserve">The tribunal will make further reference to case 186 only so far as is necessary to explain </w:t>
      </w:r>
      <w:r w:rsidR="00497D5C">
        <w:rPr>
          <w:rFonts w:cs="Georgia"/>
          <w:bCs/>
        </w:rPr>
        <w:t>any matters in case 3.</w:t>
      </w:r>
    </w:p>
    <w:p w14:paraId="756E0EBF" w14:textId="1743F307" w:rsidR="00EC1AF3" w:rsidRPr="00EC0648" w:rsidRDefault="00EC0648" w:rsidP="00EC1AF3">
      <w:pPr>
        <w:pStyle w:val="BodyText"/>
        <w:rPr>
          <w:b/>
          <w:lang w:eastAsia="en-US"/>
        </w:rPr>
      </w:pPr>
      <w:r>
        <w:rPr>
          <w:b/>
          <w:lang w:eastAsia="en-US"/>
        </w:rPr>
        <w:t>THE BUILDING</w:t>
      </w:r>
    </w:p>
    <w:p w14:paraId="68D08BA3" w14:textId="189AAEA9" w:rsidR="0033396B" w:rsidRDefault="0033396B" w:rsidP="00827A46">
      <w:pPr>
        <w:pStyle w:val="Heading1"/>
      </w:pPr>
      <w:r>
        <w:t xml:space="preserve">The </w:t>
      </w:r>
      <w:r w:rsidR="00EC0648">
        <w:t>B</w:t>
      </w:r>
      <w:r>
        <w:t xml:space="preserve">uilding </w:t>
      </w:r>
      <w:r w:rsidR="00FD0189">
        <w:t>which is of 1960’s construction</w:t>
      </w:r>
      <w:r w:rsidR="00FD0189" w:rsidRPr="3194C9D0">
        <w:t xml:space="preserve"> </w:t>
      </w:r>
      <w:r w:rsidR="00FD0189">
        <w:t>is located on the south (anticlockwise</w:t>
      </w:r>
      <w:r w:rsidR="00923B3C">
        <w:t>) side</w:t>
      </w:r>
      <w:r w:rsidR="00FD0189">
        <w:t xml:space="preserve"> </w:t>
      </w:r>
      <w:r w:rsidR="00923B3C">
        <w:t>of A406</w:t>
      </w:r>
      <w:r w:rsidR="00FD0189">
        <w:t xml:space="preserve"> North Circular Road in the London Borough of Brent. It </w:t>
      </w:r>
      <w:r>
        <w:t>consists of five floors</w:t>
      </w:r>
      <w:r w:rsidR="00EC0648">
        <w:t>,</w:t>
      </w:r>
      <w:r>
        <w:t xml:space="preserve"> three of which formed the </w:t>
      </w:r>
      <w:r w:rsidR="00EA62C9">
        <w:t>original</w:t>
      </w:r>
      <w:r>
        <w:t xml:space="preserve"> residential premises consisting of</w:t>
      </w:r>
      <w:r w:rsidR="00EC0648">
        <w:t xml:space="preserve"> flats</w:t>
      </w:r>
      <w:r>
        <w:t xml:space="preserve"> 1 - 12 Book Centre Mansions. The ground and lower ground</w:t>
      </w:r>
      <w:r w:rsidR="0059152B">
        <w:t xml:space="preserve"> (or basement)</w:t>
      </w:r>
      <w:r>
        <w:t xml:space="preserve"> floors were formerly commercial premises.</w:t>
      </w:r>
      <w:r w:rsidR="0059152B">
        <w:t xml:space="preserve"> T</w:t>
      </w:r>
      <w:r>
        <w:t xml:space="preserve">he ground </w:t>
      </w:r>
      <w:r w:rsidR="0059152B">
        <w:t xml:space="preserve">and lower ground </w:t>
      </w:r>
      <w:r>
        <w:t>floor</w:t>
      </w:r>
      <w:r w:rsidR="0059152B">
        <w:t>s</w:t>
      </w:r>
      <w:r>
        <w:t xml:space="preserve"> ha</w:t>
      </w:r>
      <w:r w:rsidR="0059152B">
        <w:t>ve</w:t>
      </w:r>
      <w:r>
        <w:t xml:space="preserve"> been converted into </w:t>
      </w:r>
      <w:r w:rsidR="0059152B">
        <w:t xml:space="preserve">14 </w:t>
      </w:r>
      <w:r>
        <w:t xml:space="preserve">additional </w:t>
      </w:r>
      <w:r w:rsidR="0059152B">
        <w:t>flats</w:t>
      </w:r>
      <w:r w:rsidR="00FD0189">
        <w:t xml:space="preserve"> (flats 13 to 26)</w:t>
      </w:r>
      <w:r w:rsidR="0059152B">
        <w:t>, of which 8 are on the ground floor and 6 at lower ground level.</w:t>
      </w:r>
      <w:r>
        <w:t xml:space="preserve"> </w:t>
      </w:r>
      <w:r w:rsidR="0059152B">
        <w:t>Mr Sanger stated that the flats on floors one,</w:t>
      </w:r>
      <w:r w:rsidR="00FD0189">
        <w:t xml:space="preserve"> </w:t>
      </w:r>
      <w:r w:rsidR="0059152B">
        <w:t>two and three are 80 to 85 square metres in area</w:t>
      </w:r>
      <w:r w:rsidR="00290923">
        <w:t xml:space="preserve"> and the flats on the ground and lower ground floors are 30 to 35 square metres in area.</w:t>
      </w:r>
    </w:p>
    <w:p w14:paraId="77E58534" w14:textId="4D8258BC" w:rsidR="00290923" w:rsidRDefault="00290923" w:rsidP="00290923">
      <w:pPr>
        <w:pStyle w:val="Heading1"/>
      </w:pPr>
      <w:r>
        <w:t>There is a sixth floor flat roof, referred to below</w:t>
      </w:r>
      <w:r w:rsidR="001E618E">
        <w:t>, which has been and is used as a site for telecommunications apparatus.</w:t>
      </w:r>
    </w:p>
    <w:p w14:paraId="1EDB6F3B" w14:textId="57F15FC8" w:rsidR="00EA3CB1" w:rsidRPr="00B446C8" w:rsidRDefault="00EA3CB1" w:rsidP="00EA3CB1">
      <w:pPr>
        <w:pStyle w:val="Heading1"/>
      </w:pPr>
      <w:r w:rsidRPr="00A504D1">
        <w:t xml:space="preserve">The lessees of each of the flats on the </w:t>
      </w:r>
      <w:r w:rsidR="00923B3C" w:rsidRPr="00A504D1">
        <w:t>first, second</w:t>
      </w:r>
      <w:r w:rsidRPr="00A504D1">
        <w:t xml:space="preserve"> and third floors are liable to pay one-twelfth of the service charges. </w:t>
      </w:r>
    </w:p>
    <w:p w14:paraId="5651527C" w14:textId="5E808AA1" w:rsidR="00A9194B" w:rsidRDefault="00937129" w:rsidP="001A5DE0">
      <w:pPr>
        <w:keepNext/>
        <w:rPr>
          <w:rFonts w:cs="Georgia"/>
          <w:b/>
          <w:bCs/>
        </w:rPr>
      </w:pPr>
      <w:r>
        <w:rPr>
          <w:rFonts w:cs="Georgia"/>
          <w:b/>
          <w:bCs/>
        </w:rPr>
        <w:t>T</w:t>
      </w:r>
      <w:r w:rsidR="001A5DE0" w:rsidRPr="00A9194B">
        <w:rPr>
          <w:rFonts w:cs="Georgia"/>
          <w:b/>
          <w:bCs/>
        </w:rPr>
        <w:t xml:space="preserve">HE </w:t>
      </w:r>
      <w:r w:rsidR="001A5DE0">
        <w:rPr>
          <w:rFonts w:cs="Georgia"/>
          <w:b/>
          <w:bCs/>
        </w:rPr>
        <w:t>OWNERSHIP STRUCTURE</w:t>
      </w:r>
    </w:p>
    <w:p w14:paraId="3BA85DA1" w14:textId="2E7597E4" w:rsidR="00A9194B" w:rsidRDefault="00A9194B" w:rsidP="001047DA">
      <w:pPr>
        <w:pStyle w:val="Heading1"/>
      </w:pPr>
      <w:r w:rsidRPr="00A9194B">
        <w:t>The owne</w:t>
      </w:r>
      <w:r>
        <w:t xml:space="preserve">rship structure of </w:t>
      </w:r>
      <w:r w:rsidR="00290923">
        <w:t>the Building</w:t>
      </w:r>
      <w:r w:rsidR="002E103A">
        <w:t xml:space="preserve"> </w:t>
      </w:r>
      <w:r w:rsidR="00290923">
        <w:t>(</w:t>
      </w:r>
      <w:r w:rsidR="002E103A">
        <w:t xml:space="preserve">formerly known as </w:t>
      </w:r>
      <w:r w:rsidR="008837DB">
        <w:t xml:space="preserve">Beacon House) </w:t>
      </w:r>
      <w:r>
        <w:t>is as follows.</w:t>
      </w:r>
    </w:p>
    <w:p w14:paraId="03BAB8EF" w14:textId="039F8C87" w:rsidR="00A9194B" w:rsidRPr="001047DA" w:rsidRDefault="00A9194B" w:rsidP="00C719A4">
      <w:pPr>
        <w:pStyle w:val="ListParagraph"/>
        <w:numPr>
          <w:ilvl w:val="0"/>
          <w:numId w:val="48"/>
        </w:numPr>
        <w:ind w:left="1077" w:hanging="357"/>
        <w:contextualSpacing w:val="0"/>
        <w:rPr>
          <w:rFonts w:cs="Georgia"/>
          <w:bCs/>
        </w:rPr>
      </w:pPr>
      <w:r w:rsidRPr="001047DA">
        <w:rPr>
          <w:rFonts w:cs="Georgia"/>
          <w:bCs/>
        </w:rPr>
        <w:t>The freehold proprietor since 16 March 2016 has been Twincross</w:t>
      </w:r>
      <w:r w:rsidR="00BC3ADD" w:rsidRPr="001047DA">
        <w:rPr>
          <w:rFonts w:cs="Georgia"/>
          <w:bCs/>
        </w:rPr>
        <w:t xml:space="preserve"> (who paid £300,000 for the investment)</w:t>
      </w:r>
      <w:r w:rsidRPr="001047DA">
        <w:rPr>
          <w:rFonts w:cs="Georgia"/>
          <w:bCs/>
        </w:rPr>
        <w:t xml:space="preserve">, whose registered title is subject to a unilateral notice </w:t>
      </w:r>
      <w:r w:rsidR="006E5969" w:rsidRPr="001047DA">
        <w:rPr>
          <w:rFonts w:cs="Georgia"/>
          <w:bCs/>
        </w:rPr>
        <w:t xml:space="preserve">in respect of contractual rights to install rooftop equipment in favour of </w:t>
      </w:r>
      <w:r w:rsidR="007426E1" w:rsidRPr="001047DA">
        <w:rPr>
          <w:rFonts w:cs="Georgia"/>
          <w:bCs/>
        </w:rPr>
        <w:t>Cornerstone</w:t>
      </w:r>
      <w:r w:rsidR="006E5969" w:rsidRPr="001047DA">
        <w:rPr>
          <w:rFonts w:cs="Georgia"/>
          <w:bCs/>
        </w:rPr>
        <w:t xml:space="preserve"> </w:t>
      </w:r>
      <w:r w:rsidR="007426E1" w:rsidRPr="001047DA">
        <w:rPr>
          <w:rFonts w:cs="Georgia"/>
          <w:bCs/>
        </w:rPr>
        <w:t>Telecommunications</w:t>
      </w:r>
      <w:r w:rsidR="006E5969" w:rsidRPr="001047DA">
        <w:rPr>
          <w:rFonts w:cs="Georgia"/>
          <w:bCs/>
        </w:rPr>
        <w:t xml:space="preserve"> Infrastructure Limited (Cornerstone).</w:t>
      </w:r>
    </w:p>
    <w:p w14:paraId="0E1ABF76" w14:textId="08F2B598" w:rsidR="00BC3ADD" w:rsidRPr="001047DA" w:rsidRDefault="00290923" w:rsidP="00C719A4">
      <w:pPr>
        <w:pStyle w:val="ListParagraph"/>
        <w:numPr>
          <w:ilvl w:val="0"/>
          <w:numId w:val="48"/>
        </w:numPr>
        <w:ind w:left="1077" w:hanging="357"/>
        <w:contextualSpacing w:val="0"/>
        <w:rPr>
          <w:rFonts w:cs="Georgia"/>
          <w:bCs/>
        </w:rPr>
      </w:pPr>
      <w:r>
        <w:rPr>
          <w:rFonts w:cs="Georgia"/>
          <w:bCs/>
        </w:rPr>
        <w:t>In</w:t>
      </w:r>
      <w:r w:rsidR="008F4F5D" w:rsidRPr="001047DA">
        <w:rPr>
          <w:rFonts w:cs="Georgia"/>
          <w:bCs/>
        </w:rPr>
        <w:t xml:space="preserve"> February 2016, </w:t>
      </w:r>
      <w:r w:rsidR="00BC3ADD" w:rsidRPr="001047DA">
        <w:rPr>
          <w:rFonts w:cs="Georgia"/>
          <w:bCs/>
        </w:rPr>
        <w:t>Twincross</w:t>
      </w:r>
      <w:r w:rsidR="008F4F5D" w:rsidRPr="001047DA">
        <w:rPr>
          <w:rFonts w:cs="Georgia"/>
          <w:bCs/>
        </w:rPr>
        <w:t xml:space="preserve"> granted a lease </w:t>
      </w:r>
      <w:r w:rsidRPr="001047DA">
        <w:rPr>
          <w:rFonts w:cs="Georgia"/>
          <w:bCs/>
        </w:rPr>
        <w:t xml:space="preserve">(registered on 30 June 2016) </w:t>
      </w:r>
      <w:r w:rsidR="008F4F5D" w:rsidRPr="001047DA">
        <w:rPr>
          <w:rFonts w:cs="Georgia"/>
          <w:bCs/>
        </w:rPr>
        <w:t xml:space="preserve">for a term of 250 years from 9 February 2016 </w:t>
      </w:r>
      <w:r w:rsidR="00C719A4">
        <w:rPr>
          <w:rFonts w:cs="Georgia"/>
          <w:bCs/>
        </w:rPr>
        <w:t>to Book Cen</w:t>
      </w:r>
      <w:r w:rsidR="008F4F5D" w:rsidRPr="001047DA">
        <w:rPr>
          <w:rFonts w:cs="Georgia"/>
          <w:bCs/>
        </w:rPr>
        <w:t>t</w:t>
      </w:r>
      <w:r w:rsidR="00C719A4">
        <w:rPr>
          <w:rFonts w:cs="Georgia"/>
          <w:bCs/>
        </w:rPr>
        <w:t>r</w:t>
      </w:r>
      <w:r w:rsidR="008F4F5D" w:rsidRPr="001047DA">
        <w:rPr>
          <w:rFonts w:cs="Georgia"/>
          <w:bCs/>
        </w:rPr>
        <w:t xml:space="preserve">e Limited of the ground floor and the lower ground floor of </w:t>
      </w:r>
      <w:r w:rsidR="008837DB">
        <w:rPr>
          <w:rFonts w:cs="Georgia"/>
          <w:bCs/>
        </w:rPr>
        <w:t xml:space="preserve">the </w:t>
      </w:r>
      <w:r>
        <w:rPr>
          <w:rFonts w:cs="Georgia"/>
          <w:bCs/>
        </w:rPr>
        <w:t>Building</w:t>
      </w:r>
      <w:r w:rsidR="008F4F5D" w:rsidRPr="001047DA">
        <w:rPr>
          <w:rFonts w:cs="Georgia"/>
          <w:bCs/>
        </w:rPr>
        <w:t xml:space="preserve"> for a premium of £600,000. </w:t>
      </w:r>
      <w:r>
        <w:rPr>
          <w:rFonts w:cs="Georgia"/>
          <w:bCs/>
        </w:rPr>
        <w:t xml:space="preserve"> </w:t>
      </w:r>
      <w:r w:rsidR="00937129">
        <w:rPr>
          <w:rFonts w:cs="Georgia"/>
          <w:bCs/>
        </w:rPr>
        <w:t xml:space="preserve">Book </w:t>
      </w:r>
      <w:r>
        <w:rPr>
          <w:rFonts w:cs="Georgia"/>
          <w:bCs/>
        </w:rPr>
        <w:t>Centre Limi</w:t>
      </w:r>
      <w:r w:rsidR="001E618E">
        <w:rPr>
          <w:rFonts w:cs="Georgia"/>
          <w:bCs/>
        </w:rPr>
        <w:t xml:space="preserve">ted </w:t>
      </w:r>
      <w:r w:rsidR="008F4F5D" w:rsidRPr="001047DA">
        <w:rPr>
          <w:rFonts w:cs="Georgia"/>
          <w:bCs/>
        </w:rPr>
        <w:t xml:space="preserve">repurposed </w:t>
      </w:r>
      <w:r w:rsidR="001E618E">
        <w:rPr>
          <w:rFonts w:cs="Georgia"/>
          <w:bCs/>
        </w:rPr>
        <w:t xml:space="preserve">these floors as stated above </w:t>
      </w:r>
      <w:r w:rsidR="008F4F5D" w:rsidRPr="001047DA">
        <w:rPr>
          <w:rFonts w:cs="Georgia"/>
          <w:bCs/>
        </w:rPr>
        <w:t xml:space="preserve">from commercial use to </w:t>
      </w:r>
      <w:r w:rsidR="008837DB">
        <w:rPr>
          <w:rFonts w:cs="Georgia"/>
          <w:bCs/>
        </w:rPr>
        <w:t xml:space="preserve">provide </w:t>
      </w:r>
      <w:r w:rsidR="008F4F5D" w:rsidRPr="001047DA">
        <w:rPr>
          <w:rFonts w:cs="Georgia"/>
          <w:bCs/>
        </w:rPr>
        <w:t>a total of 14 flats.</w:t>
      </w:r>
    </w:p>
    <w:p w14:paraId="6D5DCC0F" w14:textId="3F7F35A0" w:rsidR="006E5969" w:rsidRPr="001047DA" w:rsidRDefault="006E5969" w:rsidP="00C719A4">
      <w:pPr>
        <w:pStyle w:val="ListParagraph"/>
        <w:numPr>
          <w:ilvl w:val="0"/>
          <w:numId w:val="48"/>
        </w:numPr>
        <w:ind w:left="1077" w:hanging="357"/>
        <w:contextualSpacing w:val="0"/>
        <w:rPr>
          <w:rFonts w:cs="Georgia"/>
          <w:bCs/>
        </w:rPr>
      </w:pPr>
      <w:r w:rsidRPr="001047DA">
        <w:rPr>
          <w:rFonts w:cs="Georgia"/>
          <w:bCs/>
        </w:rPr>
        <w:t xml:space="preserve">On 12 May 2022 On Tower UK Limited </w:t>
      </w:r>
      <w:r w:rsidR="008837DB">
        <w:rPr>
          <w:rFonts w:cs="Georgia"/>
          <w:bCs/>
        </w:rPr>
        <w:t xml:space="preserve">(“On Tower”) </w:t>
      </w:r>
      <w:r w:rsidRPr="001047DA">
        <w:rPr>
          <w:rFonts w:cs="Georgia"/>
          <w:bCs/>
        </w:rPr>
        <w:t xml:space="preserve">registered a lease of the </w:t>
      </w:r>
      <w:r w:rsidR="007426E1" w:rsidRPr="001047DA">
        <w:rPr>
          <w:rFonts w:cs="Georgia"/>
          <w:bCs/>
        </w:rPr>
        <w:t>telecommunications</w:t>
      </w:r>
      <w:r w:rsidRPr="001047DA">
        <w:rPr>
          <w:rFonts w:cs="Georgia"/>
          <w:bCs/>
        </w:rPr>
        <w:t xml:space="preserve"> site </w:t>
      </w:r>
      <w:r w:rsidR="00EA62C9" w:rsidRPr="001047DA">
        <w:rPr>
          <w:rFonts w:cs="Georgia"/>
          <w:bCs/>
        </w:rPr>
        <w:t>for a</w:t>
      </w:r>
      <w:r w:rsidRPr="001047DA">
        <w:rPr>
          <w:rFonts w:cs="Georgia"/>
          <w:bCs/>
        </w:rPr>
        <w:t xml:space="preserve"> term of 50 years from 5 May 2022</w:t>
      </w:r>
      <w:r w:rsidR="00BC3ADD" w:rsidRPr="001047DA">
        <w:rPr>
          <w:rFonts w:cs="Georgia"/>
          <w:bCs/>
        </w:rPr>
        <w:t>. Twincross granted the lease to On Tower in consideration of £250,000. No service charge was reserved by th</w:t>
      </w:r>
      <w:r w:rsidR="001E618E">
        <w:rPr>
          <w:rFonts w:cs="Georgia"/>
          <w:bCs/>
        </w:rPr>
        <w:t>at</w:t>
      </w:r>
      <w:r w:rsidR="00BC3ADD" w:rsidRPr="001047DA">
        <w:rPr>
          <w:rFonts w:cs="Georgia"/>
          <w:bCs/>
        </w:rPr>
        <w:t xml:space="preserve"> lease</w:t>
      </w:r>
      <w:r w:rsidR="003C2430" w:rsidRPr="001047DA">
        <w:rPr>
          <w:rFonts w:cs="Georgia"/>
          <w:bCs/>
        </w:rPr>
        <w:t>.</w:t>
      </w:r>
    </w:p>
    <w:p w14:paraId="4D4B7408" w14:textId="701AADF0" w:rsidR="003C2430" w:rsidRDefault="003C2430" w:rsidP="007426E1">
      <w:pPr>
        <w:pStyle w:val="ListParagraph"/>
        <w:numPr>
          <w:ilvl w:val="0"/>
          <w:numId w:val="48"/>
        </w:numPr>
        <w:ind w:left="1077" w:hanging="357"/>
        <w:contextualSpacing w:val="0"/>
        <w:rPr>
          <w:rFonts w:cs="Georgia"/>
          <w:bCs/>
        </w:rPr>
      </w:pPr>
      <w:r w:rsidRPr="001047DA">
        <w:rPr>
          <w:rFonts w:cs="Georgia"/>
          <w:bCs/>
        </w:rPr>
        <w:lastRenderedPageBreak/>
        <w:t xml:space="preserve">On each of the </w:t>
      </w:r>
      <w:r w:rsidR="007426E1" w:rsidRPr="001047DA">
        <w:rPr>
          <w:rFonts w:cs="Georgia"/>
          <w:bCs/>
        </w:rPr>
        <w:t>first, second</w:t>
      </w:r>
      <w:r w:rsidRPr="001047DA">
        <w:rPr>
          <w:rFonts w:cs="Georgia"/>
          <w:bCs/>
        </w:rPr>
        <w:t xml:space="preserve"> and third floors of the </w:t>
      </w:r>
      <w:r w:rsidR="008837DB">
        <w:rPr>
          <w:rFonts w:cs="Georgia"/>
          <w:bCs/>
        </w:rPr>
        <w:t>P</w:t>
      </w:r>
      <w:r w:rsidRPr="001047DA">
        <w:rPr>
          <w:rFonts w:cs="Georgia"/>
          <w:bCs/>
        </w:rPr>
        <w:t xml:space="preserve">roperty are 4 flats </w:t>
      </w:r>
      <w:r w:rsidR="008837DB">
        <w:rPr>
          <w:rFonts w:cs="Georgia"/>
          <w:bCs/>
        </w:rPr>
        <w:t xml:space="preserve">making a total of 12 flats. Twincross </w:t>
      </w:r>
      <w:r w:rsidRPr="001047DA">
        <w:rPr>
          <w:rFonts w:cs="Georgia"/>
          <w:bCs/>
        </w:rPr>
        <w:t xml:space="preserve">or its </w:t>
      </w:r>
      <w:r w:rsidR="007426E1" w:rsidRPr="001047DA">
        <w:rPr>
          <w:rFonts w:cs="Georgia"/>
          <w:bCs/>
        </w:rPr>
        <w:t>predecessors</w:t>
      </w:r>
      <w:r w:rsidRPr="001047DA">
        <w:rPr>
          <w:rFonts w:cs="Georgia"/>
          <w:bCs/>
        </w:rPr>
        <w:t xml:space="preserve"> </w:t>
      </w:r>
      <w:r w:rsidR="008837DB">
        <w:rPr>
          <w:rFonts w:cs="Georgia"/>
          <w:bCs/>
        </w:rPr>
        <w:t xml:space="preserve">have granted long leases of each flat to </w:t>
      </w:r>
      <w:r w:rsidRPr="001047DA">
        <w:rPr>
          <w:rFonts w:cs="Georgia"/>
          <w:bCs/>
        </w:rPr>
        <w:t>the</w:t>
      </w:r>
      <w:r w:rsidR="008837DB">
        <w:rPr>
          <w:rFonts w:cs="Georgia"/>
          <w:bCs/>
        </w:rPr>
        <w:t xml:space="preserve"> respective leasehold owners</w:t>
      </w:r>
      <w:r w:rsidR="00A923E2">
        <w:rPr>
          <w:rFonts w:cs="Georgia"/>
          <w:bCs/>
        </w:rPr>
        <w:t xml:space="preserve">. Duchess is the leasehold owner of flats 5 and 11. </w:t>
      </w:r>
    </w:p>
    <w:p w14:paraId="4A8FD509" w14:textId="11CC6758" w:rsidR="00A66E64" w:rsidRDefault="00A66E64" w:rsidP="00A66E64">
      <w:pPr>
        <w:rPr>
          <w:rFonts w:cs="Georgia"/>
          <w:b/>
          <w:bCs/>
        </w:rPr>
      </w:pPr>
      <w:r w:rsidRPr="00A66E64">
        <w:rPr>
          <w:rFonts w:cs="Georgia"/>
          <w:b/>
          <w:bCs/>
        </w:rPr>
        <w:t>THE LEASES OF FLATS 5 AND 11</w:t>
      </w:r>
    </w:p>
    <w:p w14:paraId="69A5569C" w14:textId="6FC9798F" w:rsidR="00A66E64" w:rsidRDefault="00A66E64" w:rsidP="00A66E64">
      <w:pPr>
        <w:pStyle w:val="Heading1"/>
      </w:pPr>
      <w:r>
        <w:t>The two leases of the flats leased to Duchess provided for the tenant to pay a share of One Twelfth of the total expenditure</w:t>
      </w:r>
      <w:r w:rsidR="00EE7D49">
        <w:t xml:space="preserve"> (defined in the Fifth Schedule which deals with the Service Charge)</w:t>
      </w:r>
      <w:r>
        <w:t>.</w:t>
      </w:r>
      <w:r w:rsidR="00B83D87">
        <w:t xml:space="preserve"> By clause 5(5) the Lessors covenant with the Tenant to maintain and repair the main structure of the Building, the gas and water mains,</w:t>
      </w:r>
      <w:r w:rsidR="00EE7D49">
        <w:t xml:space="preserve"> </w:t>
      </w:r>
      <w:r w:rsidR="00B83D87">
        <w:t>pipes and drains the common parts</w:t>
      </w:r>
      <w:r w:rsidR="00EE7D49">
        <w:t xml:space="preserve">, the boundary walls and fences and also </w:t>
      </w:r>
      <w:r w:rsidR="00B83D87">
        <w:t xml:space="preserve"> </w:t>
      </w:r>
      <w:r w:rsidR="00EE7D49">
        <w:t>to decorate as stipulated in detail.</w:t>
      </w:r>
    </w:p>
    <w:p w14:paraId="1F4946FB" w14:textId="10E0CD1E" w:rsidR="004B7B70" w:rsidRDefault="004B7B70" w:rsidP="004B7B70">
      <w:pPr>
        <w:pStyle w:val="Heading1"/>
      </w:pPr>
      <w:r>
        <w:t>The two leases are in common form so far as service charges are concerned.</w:t>
      </w:r>
    </w:p>
    <w:p w14:paraId="1B299FD6" w14:textId="6386545A" w:rsidR="004B7B70" w:rsidRPr="004B7B70" w:rsidRDefault="004B7B70" w:rsidP="004B7B70">
      <w:pPr>
        <w:pStyle w:val="Heading1"/>
      </w:pPr>
      <w:r>
        <w:t>No issues were raised by the parties as to the true meaning of the above provisions</w:t>
      </w:r>
    </w:p>
    <w:p w14:paraId="7C00189D" w14:textId="6ED0AE1A" w:rsidR="00A66E64" w:rsidRPr="00A66E64" w:rsidRDefault="00A66E64" w:rsidP="00A66E64">
      <w:pPr>
        <w:rPr>
          <w:rFonts w:cs="Georgia"/>
          <w:b/>
          <w:bCs/>
        </w:rPr>
      </w:pPr>
      <w:r>
        <w:rPr>
          <w:rFonts w:cs="Georgia"/>
          <w:b/>
          <w:bCs/>
        </w:rPr>
        <w:t>ON TOWER’S LEASE</w:t>
      </w:r>
    </w:p>
    <w:p w14:paraId="44A70EE6" w14:textId="77777777" w:rsidR="00E009BC" w:rsidRDefault="001F5082" w:rsidP="00C719A4">
      <w:pPr>
        <w:pStyle w:val="Heading1"/>
      </w:pPr>
      <w:r>
        <w:t xml:space="preserve">On Tower </w:t>
      </w:r>
      <w:r w:rsidR="00A923E2">
        <w:t xml:space="preserve">has </w:t>
      </w:r>
      <w:r w:rsidR="00EA62C9">
        <w:t>no service</w:t>
      </w:r>
      <w:r>
        <w:t xml:space="preserve"> charge</w:t>
      </w:r>
      <w:r w:rsidR="00E009BC">
        <w:t xml:space="preserve"> obligation to Twincross. This may reflect that:</w:t>
      </w:r>
    </w:p>
    <w:p w14:paraId="5B39DD3D" w14:textId="60A9A111" w:rsidR="00E009BC" w:rsidRDefault="00E009BC" w:rsidP="00E009BC">
      <w:pPr>
        <w:pStyle w:val="Heading2"/>
      </w:pPr>
      <w:r>
        <w:t xml:space="preserve"> the only significant expenditure is likely to be the cost of keeping the apparatus in repair, which is a responsibility of On Tower;</w:t>
      </w:r>
    </w:p>
    <w:p w14:paraId="75B0121C" w14:textId="77777777" w:rsidR="00E009BC" w:rsidRDefault="00A923E2" w:rsidP="00E009BC">
      <w:pPr>
        <w:pStyle w:val="Heading2"/>
      </w:pPr>
      <w:r>
        <w:t xml:space="preserve"> the approach of the Upper Tribunal in </w:t>
      </w:r>
      <w:r w:rsidR="00B446C8">
        <w:t>deciding</w:t>
      </w:r>
      <w:r>
        <w:t xml:space="preserve"> </w:t>
      </w:r>
      <w:r w:rsidR="00234FF7">
        <w:t xml:space="preserve">the </w:t>
      </w:r>
      <w:r w:rsidR="00E009BC">
        <w:t xml:space="preserve">limits of </w:t>
      </w:r>
      <w:r w:rsidR="00234FF7">
        <w:t>compensation payable</w:t>
      </w:r>
      <w:r w:rsidR="00E009BC">
        <w:t xml:space="preserve"> by operators to landowners </w:t>
      </w:r>
      <w:r w:rsidR="00234FF7">
        <w:t xml:space="preserve">for telecommunications rights; see for example </w:t>
      </w:r>
      <w:r w:rsidR="00234FF7" w:rsidRPr="00B446C8">
        <w:rPr>
          <w:i/>
        </w:rPr>
        <w:t>EE Ltd v Islington LB</w:t>
      </w:r>
      <w:r w:rsidR="00234FF7">
        <w:t xml:space="preserve"> [2019] UKUT 53 LC</w:t>
      </w:r>
      <w:r w:rsidR="00E009BC">
        <w:t>;</w:t>
      </w:r>
    </w:p>
    <w:p w14:paraId="6627A117" w14:textId="0C3FD9F1" w:rsidR="001F5082" w:rsidRDefault="00E009BC" w:rsidP="00E009BC">
      <w:pPr>
        <w:pStyle w:val="Heading2"/>
      </w:pPr>
      <w:r>
        <w:t>The premium paid by On Tower for its lease.</w:t>
      </w:r>
      <w:r w:rsidR="00A923E2">
        <w:t xml:space="preserve"> </w:t>
      </w:r>
    </w:p>
    <w:p w14:paraId="56B637BD" w14:textId="51AA5C84" w:rsidR="00003F2F" w:rsidRPr="008527CF" w:rsidRDefault="001A5DE0" w:rsidP="001A5DE0">
      <w:pPr>
        <w:keepNext/>
        <w:rPr>
          <w:rFonts w:cs="Georgia"/>
          <w:b/>
          <w:bCs/>
        </w:rPr>
      </w:pPr>
      <w:r w:rsidRPr="008527CF">
        <w:rPr>
          <w:rFonts w:cs="Georgia"/>
          <w:b/>
          <w:bCs/>
        </w:rPr>
        <w:t>THE VARIATION ISSUES</w:t>
      </w:r>
      <w:r w:rsidRPr="001A5DE0">
        <w:rPr>
          <w:rFonts w:cs="Georgia"/>
          <w:b/>
          <w:bCs/>
        </w:rPr>
        <w:t xml:space="preserve"> </w:t>
      </w:r>
    </w:p>
    <w:p w14:paraId="01A517ED" w14:textId="51B93544" w:rsidR="008D50C1" w:rsidRDefault="00003F2F" w:rsidP="008D50C1">
      <w:pPr>
        <w:pStyle w:val="Heading1"/>
      </w:pPr>
      <w:r>
        <w:t xml:space="preserve">The powers of the tribunal to order a variation of the service charge provisions </w:t>
      </w:r>
      <w:r w:rsidR="00EA62C9">
        <w:t>in lease</w:t>
      </w:r>
      <w:r>
        <w:t xml:space="preserve"> can be exercised on the application of the lessee in the circumstances set out in section 35 and alternatively section 37 of the 1987 Act</w:t>
      </w:r>
      <w:r w:rsidR="00EA62C9">
        <w:t>.</w:t>
      </w:r>
      <w:r>
        <w:t xml:space="preserve"> A lessor can make a cross application in response to a lessor’s application under section 36 and </w:t>
      </w:r>
      <w:r w:rsidR="00293DBC">
        <w:t xml:space="preserve">further </w:t>
      </w:r>
      <w:r w:rsidR="007426E1">
        <w:t>provisions</w:t>
      </w:r>
      <w:r w:rsidR="00293DBC">
        <w:t xml:space="preserve"> are found in section 38.</w:t>
      </w:r>
      <w:r w:rsidR="00234FF7" w:rsidRPr="00234FF7">
        <w:t xml:space="preserve"> </w:t>
      </w:r>
      <w:r w:rsidR="00234FF7">
        <w:t xml:space="preserve">The </w:t>
      </w:r>
      <w:r w:rsidR="00923B3C">
        <w:t>relevant extracts of</w:t>
      </w:r>
      <w:r w:rsidR="00234FF7">
        <w:t xml:space="preserve"> sections 37 and 38 have been annexed to the tribunal’ earlier directions. The relevant parts of sections 35 and 36 are set out in the annex to this decision.</w:t>
      </w:r>
    </w:p>
    <w:p w14:paraId="1B3A0E8B" w14:textId="3017A469" w:rsidR="00293DBC" w:rsidRDefault="00293DBC" w:rsidP="001A5DE0">
      <w:pPr>
        <w:pStyle w:val="Heading1"/>
      </w:pPr>
      <w:r>
        <w:t>Although Duchess</w:t>
      </w:r>
      <w:r w:rsidR="005D5DF1">
        <w:t>’</w:t>
      </w:r>
      <w:r>
        <w:t xml:space="preserve"> application (as noted above) did not specify on which grounds Duchess relied, this was clarified at the directions hearing on 10 May 2023. The written directions dated 10 May 2023 state in the background </w:t>
      </w:r>
      <w:r w:rsidR="008527CF">
        <w:t>that</w:t>
      </w:r>
      <w:r>
        <w:t xml:space="preserve"> Duchess “seek to vary 2 leases under section 37 of the 1987 Act</w:t>
      </w:r>
      <w:r w:rsidR="00866813">
        <w:t>”</w:t>
      </w:r>
      <w:r>
        <w:t>.</w:t>
      </w:r>
    </w:p>
    <w:p w14:paraId="5E3C1344" w14:textId="3D2D18D2" w:rsidR="00866813" w:rsidRDefault="00866813" w:rsidP="001A5DE0">
      <w:pPr>
        <w:pStyle w:val="Heading1"/>
      </w:pPr>
      <w:r>
        <w:t>The essence of section 37 is that a variation is requested in circumstance where a majority of the lessees agree to the variation which cannot be implemented without unanimous support. Section 37 allows the tribunal to order that the leases be varied notwithstanding the opposition of the minority.</w:t>
      </w:r>
    </w:p>
    <w:p w14:paraId="061DFC1F" w14:textId="1CCB5D1E" w:rsidR="008527CF" w:rsidRDefault="001A5DE0" w:rsidP="001A5DE0">
      <w:pPr>
        <w:keepNext/>
        <w:rPr>
          <w:rFonts w:cs="Georgia"/>
          <w:b/>
          <w:bCs/>
        </w:rPr>
      </w:pPr>
      <w:r w:rsidRPr="008527CF">
        <w:rPr>
          <w:rFonts w:cs="Georgia"/>
          <w:b/>
          <w:bCs/>
        </w:rPr>
        <w:t>THE GROUNDS FOR THE VARIATION APPLICATION</w:t>
      </w:r>
    </w:p>
    <w:p w14:paraId="3454C4D0" w14:textId="7CCE612E" w:rsidR="00CC2C64" w:rsidRPr="00CC2C64" w:rsidRDefault="00D6039A" w:rsidP="00A94F83">
      <w:pPr>
        <w:pStyle w:val="Heading1"/>
      </w:pPr>
      <w:r w:rsidRPr="00CC2C64">
        <w:t xml:space="preserve">The grounds </w:t>
      </w:r>
      <w:r w:rsidR="005D5DF1" w:rsidRPr="00CC2C64">
        <w:t xml:space="preserve">of the application in case 3 </w:t>
      </w:r>
      <w:r w:rsidRPr="00CC2C64">
        <w:t>stated that</w:t>
      </w:r>
      <w:r w:rsidR="00CC2C64" w:rsidRPr="00CC2C64">
        <w:t>:</w:t>
      </w:r>
      <w:r w:rsidRPr="00CC2C64">
        <w:t xml:space="preserve"> </w:t>
      </w:r>
    </w:p>
    <w:p w14:paraId="26BFB258" w14:textId="046598BF" w:rsidR="00D6039A" w:rsidRDefault="00D6039A" w:rsidP="00CC2C64">
      <w:pPr>
        <w:pStyle w:val="Heading1"/>
        <w:numPr>
          <w:ilvl w:val="0"/>
          <w:numId w:val="0"/>
        </w:numPr>
        <w:ind w:left="720"/>
      </w:pPr>
    </w:p>
    <w:p w14:paraId="208F218A" w14:textId="64487918" w:rsidR="0033396B" w:rsidRPr="00CC2C64" w:rsidRDefault="00CC2C64" w:rsidP="0033396B">
      <w:pPr>
        <w:spacing w:before="100" w:beforeAutospacing="1" w:after="100" w:afterAutospacing="1"/>
      </w:pPr>
      <w:r>
        <w:rPr>
          <w:rFonts w:ascii="ArialMT" w:hAnsi="ArialMT"/>
          <w:sz w:val="22"/>
          <w:szCs w:val="22"/>
        </w:rPr>
        <w:t>“</w:t>
      </w:r>
      <w:r w:rsidR="0033396B" w:rsidRPr="00CC2C64">
        <w:t xml:space="preserve">There are now 26 Flats in the block where there were previously 12 Flats. </w:t>
      </w:r>
    </w:p>
    <w:p w14:paraId="2E067709" w14:textId="1775CD27" w:rsidR="0033396B" w:rsidRPr="00CC2C64" w:rsidRDefault="0033396B" w:rsidP="0033396B">
      <w:pPr>
        <w:spacing w:before="100" w:beforeAutospacing="1" w:after="100" w:afterAutospacing="1"/>
      </w:pPr>
      <w:r w:rsidRPr="00CC2C64">
        <w:t xml:space="preserve">There has always been Telephone Masts on the flat roof of the building which is an additional source of income to the landlord while advancing disrepair to the roof. We believe the telephone masts make it difficult for any roofers to identify or cure the problem of the ongoing leaks into 5 Book Centre Mansions North Circular Road London NW10 </w:t>
      </w:r>
      <w:r w:rsidR="00923B3C" w:rsidRPr="00CC2C64">
        <w:t xml:space="preserve">0JD. </w:t>
      </w:r>
      <w:r w:rsidRPr="00CC2C64">
        <w:t xml:space="preserve">The income from the flat roof ought to set off expenditure on the roof repairs and the high building insurance as a whole. The building insurance will no doubt be 'mixed use' due to the commercial element of the roof. </w:t>
      </w:r>
    </w:p>
    <w:p w14:paraId="49116E2F" w14:textId="5EB5AA4B" w:rsidR="0033396B" w:rsidRPr="00CC2C64" w:rsidRDefault="0033396B" w:rsidP="0033396B">
      <w:pPr>
        <w:spacing w:before="100" w:beforeAutospacing="1" w:after="100" w:afterAutospacing="1"/>
      </w:pPr>
      <w:r w:rsidRPr="00CC2C64">
        <w:t>The leaseholders of the 24 other Flats and le</w:t>
      </w:r>
      <w:r w:rsidR="00FD0189">
        <w:t>s</w:t>
      </w:r>
      <w:r w:rsidRPr="00CC2C64">
        <w:t xml:space="preserve">see of the roof are not known unless the Freeholder can supply their details. </w:t>
      </w:r>
      <w:r w:rsidR="00CC2C64" w:rsidRPr="00CC2C64">
        <w:t>“</w:t>
      </w:r>
    </w:p>
    <w:p w14:paraId="10592ABC" w14:textId="77777777" w:rsidR="0033396B" w:rsidRPr="0033396B" w:rsidRDefault="0033396B" w:rsidP="0033396B">
      <w:pPr>
        <w:pStyle w:val="BodyText"/>
        <w:rPr>
          <w:lang w:eastAsia="en-US"/>
        </w:rPr>
      </w:pPr>
    </w:p>
    <w:p w14:paraId="5778D170" w14:textId="77777777" w:rsidR="00EA3CB1" w:rsidRPr="00EA3CB1" w:rsidRDefault="00D6039A" w:rsidP="00A43ADD">
      <w:pPr>
        <w:pStyle w:val="Heading1"/>
        <w:keepNext/>
        <w:rPr>
          <w:rFonts w:cs="Georgia"/>
          <w:b/>
          <w:bCs/>
        </w:rPr>
      </w:pPr>
      <w:r w:rsidRPr="3194C9D0">
        <w:t>T</w:t>
      </w:r>
      <w:r w:rsidR="00351382">
        <w:t>he application form stated that t</w:t>
      </w:r>
      <w:r w:rsidRPr="3194C9D0">
        <w:t xml:space="preserve">he lease of flat five </w:t>
      </w:r>
      <w:r w:rsidR="00F0003E">
        <w:t>of the Property</w:t>
      </w:r>
      <w:r w:rsidR="00351382">
        <w:t xml:space="preserve"> i</w:t>
      </w:r>
      <w:r w:rsidRPr="3194C9D0">
        <w:t xml:space="preserve">s for a term of 189 years from and including 29 September 1974. </w:t>
      </w:r>
      <w:r w:rsidR="00F0003E">
        <w:t>T</w:t>
      </w:r>
      <w:r w:rsidRPr="3194C9D0">
        <w:t>he lease of flat 11</w:t>
      </w:r>
      <w:r w:rsidR="00F0003E">
        <w:t xml:space="preserve"> is</w:t>
      </w:r>
      <w:r w:rsidRPr="3194C9D0">
        <w:t xml:space="preserve"> for a term of 149 years</w:t>
      </w:r>
      <w:r w:rsidR="00F0003E">
        <w:t xml:space="preserve"> f</w:t>
      </w:r>
      <w:r w:rsidRPr="3194C9D0">
        <w:t xml:space="preserve">rom 29th September 1974. </w:t>
      </w:r>
    </w:p>
    <w:p w14:paraId="05C4BA90" w14:textId="49AEEBFF" w:rsidR="00D2511A" w:rsidRPr="00DA2C22" w:rsidRDefault="00DA2C22" w:rsidP="00DA2C22">
      <w:pPr>
        <w:keepNext/>
        <w:rPr>
          <w:rFonts w:cs="Georgia"/>
          <w:b/>
          <w:bCs/>
        </w:rPr>
      </w:pPr>
      <w:r w:rsidRPr="00DA2C22">
        <w:rPr>
          <w:rFonts w:cs="Georgia"/>
          <w:b/>
          <w:bCs/>
        </w:rPr>
        <w:t>WHAT SECTION 37 REQUIRES</w:t>
      </w:r>
    </w:p>
    <w:p w14:paraId="738C799C" w14:textId="7862B156" w:rsidR="00D2511A" w:rsidRPr="00EA0DBA" w:rsidRDefault="00D2511A" w:rsidP="00A94F83">
      <w:pPr>
        <w:pStyle w:val="Heading1"/>
      </w:pPr>
      <w:r w:rsidRPr="00EA0DBA">
        <w:t xml:space="preserve">An application under section 37 shall only be made in a case, such as here, where there are more than eight leases if it is not opposed by more than 10 per cent of the total number of the parties concerned </w:t>
      </w:r>
      <w:r w:rsidR="00EA0DBA" w:rsidRPr="00EA0DBA">
        <w:t xml:space="preserve">and at least 75 per cent of that number consent to it. </w:t>
      </w:r>
    </w:p>
    <w:p w14:paraId="46BB78CE" w14:textId="705CCEDA" w:rsidR="00497D5C" w:rsidRDefault="00866813" w:rsidP="00DA2C22">
      <w:pPr>
        <w:pStyle w:val="Heading1"/>
      </w:pPr>
      <w:r>
        <w:t xml:space="preserve">The 10 </w:t>
      </w:r>
      <w:r w:rsidR="00C719A4">
        <w:t>M</w:t>
      </w:r>
      <w:r>
        <w:t xml:space="preserve">ay 2023 </w:t>
      </w:r>
      <w:r w:rsidR="00A94F83">
        <w:t>d</w:t>
      </w:r>
      <w:r>
        <w:t xml:space="preserve">irections directed Duchess within 10 days to give notice to any other persons not named as parties s/he knows or </w:t>
      </w:r>
      <w:r w:rsidR="007426E1">
        <w:t>believes</w:t>
      </w:r>
      <w:r>
        <w:t xml:space="preserve"> is likely to be </w:t>
      </w:r>
      <w:r w:rsidR="007426E1">
        <w:t>affected</w:t>
      </w:r>
      <w:r>
        <w:t xml:space="preserve"> by any variation of lease and confirm this to the tribunal </w:t>
      </w:r>
      <w:r w:rsidR="0058454C">
        <w:t>with details. This could include m</w:t>
      </w:r>
      <w:r w:rsidR="00221D17">
        <w:t xml:space="preserve">ortgage lenders and guarantors </w:t>
      </w:r>
      <w:r w:rsidR="0058454C">
        <w:t>such persons should be informed that they may apply to the tribun</w:t>
      </w:r>
      <w:r w:rsidR="00221D17">
        <w:t>a</w:t>
      </w:r>
      <w:r w:rsidR="0058454C">
        <w:t>l to be joined as parties.</w:t>
      </w:r>
    </w:p>
    <w:p w14:paraId="17DCC312" w14:textId="410E3DB0" w:rsidR="0058454C" w:rsidRDefault="0058454C" w:rsidP="00DA2C22">
      <w:pPr>
        <w:pStyle w:val="Heading1"/>
      </w:pPr>
      <w:r>
        <w:t>Duchess gave notice by letters dated 19 May 2023 to the following:</w:t>
      </w:r>
    </w:p>
    <w:p w14:paraId="5A615F7A" w14:textId="7690FADA" w:rsidR="0058454C" w:rsidRPr="008527CF" w:rsidRDefault="0058454C" w:rsidP="00DA2C22">
      <w:pPr>
        <w:pStyle w:val="ListParagraph"/>
        <w:numPr>
          <w:ilvl w:val="0"/>
          <w:numId w:val="48"/>
        </w:numPr>
        <w:ind w:left="1077" w:hanging="357"/>
        <w:contextualSpacing w:val="0"/>
        <w:rPr>
          <w:rFonts w:cs="Georgia"/>
          <w:bCs/>
        </w:rPr>
      </w:pPr>
      <w:r w:rsidRPr="008527CF">
        <w:rPr>
          <w:rFonts w:cs="Georgia"/>
          <w:bCs/>
        </w:rPr>
        <w:t xml:space="preserve">Barclays </w:t>
      </w:r>
      <w:r w:rsidR="007426E1" w:rsidRPr="008527CF">
        <w:rPr>
          <w:rFonts w:cs="Georgia"/>
          <w:bCs/>
        </w:rPr>
        <w:t>Mortgages</w:t>
      </w:r>
      <w:r w:rsidRPr="008527CF">
        <w:rPr>
          <w:rFonts w:cs="Georgia"/>
          <w:bCs/>
        </w:rPr>
        <w:t xml:space="preserve"> PLC</w:t>
      </w:r>
      <w:r w:rsidR="008527CF">
        <w:rPr>
          <w:rFonts w:cs="Georgia"/>
          <w:bCs/>
        </w:rPr>
        <w:t>;</w:t>
      </w:r>
      <w:r w:rsidRPr="008527CF">
        <w:rPr>
          <w:rFonts w:cs="Georgia"/>
          <w:bCs/>
        </w:rPr>
        <w:t xml:space="preserve"> </w:t>
      </w:r>
    </w:p>
    <w:p w14:paraId="66C2FA8D" w14:textId="3B02A16A" w:rsidR="00302588" w:rsidRPr="008527CF" w:rsidRDefault="00302588" w:rsidP="00DA2C22">
      <w:pPr>
        <w:pStyle w:val="ListParagraph"/>
        <w:numPr>
          <w:ilvl w:val="0"/>
          <w:numId w:val="48"/>
        </w:numPr>
        <w:ind w:left="1077" w:hanging="357"/>
        <w:contextualSpacing w:val="0"/>
        <w:rPr>
          <w:rFonts w:cs="Georgia"/>
          <w:bCs/>
        </w:rPr>
      </w:pPr>
      <w:r w:rsidRPr="008527CF">
        <w:rPr>
          <w:rFonts w:cs="Georgia"/>
          <w:bCs/>
        </w:rPr>
        <w:t>Cornerstone Telecommunications Infrastructure Limited as proprietors of the roof top of the property</w:t>
      </w:r>
      <w:r w:rsidR="008527CF">
        <w:rPr>
          <w:rFonts w:cs="Georgia"/>
          <w:bCs/>
        </w:rPr>
        <w:t>;</w:t>
      </w:r>
    </w:p>
    <w:p w14:paraId="3516C1E8" w14:textId="3EA83200" w:rsidR="00302588" w:rsidRPr="008527CF" w:rsidRDefault="00302588" w:rsidP="00DA2C22">
      <w:pPr>
        <w:pStyle w:val="ListParagraph"/>
        <w:numPr>
          <w:ilvl w:val="0"/>
          <w:numId w:val="48"/>
        </w:numPr>
        <w:ind w:left="1077" w:hanging="357"/>
        <w:contextualSpacing w:val="0"/>
        <w:rPr>
          <w:rFonts w:cs="Georgia"/>
          <w:bCs/>
        </w:rPr>
      </w:pPr>
      <w:r w:rsidRPr="008527CF">
        <w:rPr>
          <w:rFonts w:cs="Georgia"/>
          <w:bCs/>
        </w:rPr>
        <w:t>Book Centre limited as proprietor of 13-26 Book Centre Mansions</w:t>
      </w:r>
      <w:r w:rsidR="008527CF">
        <w:rPr>
          <w:rFonts w:cs="Georgia"/>
          <w:bCs/>
        </w:rPr>
        <w:t>;</w:t>
      </w:r>
    </w:p>
    <w:p w14:paraId="47B107A8" w14:textId="6F852204" w:rsidR="00302588" w:rsidRPr="008527CF" w:rsidRDefault="00302588" w:rsidP="00DA2C22">
      <w:pPr>
        <w:pStyle w:val="ListParagraph"/>
        <w:numPr>
          <w:ilvl w:val="0"/>
          <w:numId w:val="48"/>
        </w:numPr>
        <w:ind w:left="1077" w:hanging="357"/>
        <w:contextualSpacing w:val="0"/>
        <w:rPr>
          <w:rFonts w:cs="Georgia"/>
          <w:bCs/>
        </w:rPr>
      </w:pPr>
      <w:r w:rsidRPr="008527CF">
        <w:rPr>
          <w:rFonts w:cs="Georgia"/>
          <w:bCs/>
        </w:rPr>
        <w:t>The proprietors of flats 1 and 2</w:t>
      </w:r>
      <w:r w:rsidR="008527CF">
        <w:rPr>
          <w:rFonts w:cs="Georgia"/>
          <w:bCs/>
        </w:rPr>
        <w:t>;</w:t>
      </w:r>
    </w:p>
    <w:p w14:paraId="057703E0" w14:textId="5D0A54B4" w:rsidR="00302588" w:rsidRPr="008527CF" w:rsidRDefault="00302588" w:rsidP="00DA2C22">
      <w:pPr>
        <w:pStyle w:val="ListParagraph"/>
        <w:numPr>
          <w:ilvl w:val="0"/>
          <w:numId w:val="48"/>
        </w:numPr>
        <w:ind w:left="1077" w:hanging="357"/>
        <w:contextualSpacing w:val="0"/>
        <w:rPr>
          <w:rFonts w:cs="Georgia"/>
          <w:bCs/>
        </w:rPr>
      </w:pPr>
      <w:r w:rsidRPr="008527CF">
        <w:rPr>
          <w:rFonts w:cs="Georgia"/>
          <w:bCs/>
        </w:rPr>
        <w:t xml:space="preserve">Beacon House </w:t>
      </w:r>
      <w:r w:rsidR="00750CF3" w:rsidRPr="008527CF">
        <w:rPr>
          <w:rFonts w:cs="Georgia"/>
          <w:bCs/>
        </w:rPr>
        <w:t>Investments</w:t>
      </w:r>
      <w:r w:rsidRPr="008527CF">
        <w:rPr>
          <w:rFonts w:cs="Georgia"/>
          <w:bCs/>
        </w:rPr>
        <w:t xml:space="preserve"> Limited </w:t>
      </w:r>
      <w:r w:rsidR="00EA0DBA">
        <w:rPr>
          <w:rFonts w:cs="Georgia"/>
          <w:bCs/>
        </w:rPr>
        <w:t xml:space="preserve">( a company of which Mr </w:t>
      </w:r>
      <w:r w:rsidR="00923B3C">
        <w:rPr>
          <w:rFonts w:cs="Georgia"/>
          <w:bCs/>
        </w:rPr>
        <w:t>Sanger</w:t>
      </w:r>
      <w:r w:rsidR="00EA0DBA">
        <w:rPr>
          <w:rFonts w:cs="Georgia"/>
          <w:bCs/>
        </w:rPr>
        <w:t xml:space="preserve"> is a director) </w:t>
      </w:r>
      <w:r w:rsidRPr="008527CF">
        <w:rPr>
          <w:rFonts w:cs="Georgia"/>
          <w:bCs/>
        </w:rPr>
        <w:t xml:space="preserve">as </w:t>
      </w:r>
      <w:r w:rsidR="00750CF3" w:rsidRPr="008527CF">
        <w:rPr>
          <w:rFonts w:cs="Georgia"/>
          <w:bCs/>
        </w:rPr>
        <w:t>proprietors</w:t>
      </w:r>
      <w:r w:rsidRPr="008527CF">
        <w:rPr>
          <w:rFonts w:cs="Georgia"/>
          <w:bCs/>
        </w:rPr>
        <w:t xml:space="preserve"> of  flats 3,</w:t>
      </w:r>
      <w:r w:rsidR="00DA2C22">
        <w:rPr>
          <w:rFonts w:cs="Georgia"/>
          <w:bCs/>
        </w:rPr>
        <w:t xml:space="preserve"> </w:t>
      </w:r>
      <w:r w:rsidRPr="008527CF">
        <w:rPr>
          <w:rFonts w:cs="Georgia"/>
          <w:bCs/>
        </w:rPr>
        <w:t>8,</w:t>
      </w:r>
      <w:r w:rsidR="00DA2C22">
        <w:rPr>
          <w:rFonts w:cs="Georgia"/>
          <w:bCs/>
        </w:rPr>
        <w:t xml:space="preserve"> </w:t>
      </w:r>
      <w:r w:rsidRPr="008527CF">
        <w:rPr>
          <w:rFonts w:cs="Georgia"/>
          <w:bCs/>
        </w:rPr>
        <w:t>10 and 12</w:t>
      </w:r>
      <w:r w:rsidR="008527CF">
        <w:rPr>
          <w:rFonts w:cs="Georgia"/>
          <w:bCs/>
        </w:rPr>
        <w:t xml:space="preserve">; and </w:t>
      </w:r>
    </w:p>
    <w:p w14:paraId="3B372980" w14:textId="1C9A4338" w:rsidR="00302588" w:rsidRPr="008527CF" w:rsidRDefault="00302588" w:rsidP="00DA2C22">
      <w:pPr>
        <w:pStyle w:val="ListParagraph"/>
        <w:numPr>
          <w:ilvl w:val="0"/>
          <w:numId w:val="48"/>
        </w:numPr>
        <w:ind w:left="1077" w:hanging="357"/>
        <w:contextualSpacing w:val="0"/>
        <w:rPr>
          <w:rFonts w:cs="Georgia"/>
          <w:bCs/>
        </w:rPr>
      </w:pPr>
      <w:r w:rsidRPr="008527CF">
        <w:rPr>
          <w:rFonts w:cs="Georgia"/>
          <w:bCs/>
        </w:rPr>
        <w:t>The proprietors of flats 4, 6,</w:t>
      </w:r>
      <w:r w:rsidR="00DA2C22">
        <w:rPr>
          <w:rFonts w:cs="Georgia"/>
          <w:bCs/>
        </w:rPr>
        <w:t xml:space="preserve"> 7 </w:t>
      </w:r>
      <w:r w:rsidRPr="008527CF">
        <w:rPr>
          <w:rFonts w:cs="Georgia"/>
          <w:bCs/>
        </w:rPr>
        <w:t>and 9</w:t>
      </w:r>
      <w:r w:rsidR="008527CF">
        <w:rPr>
          <w:rFonts w:cs="Georgia"/>
          <w:bCs/>
        </w:rPr>
        <w:t>.</w:t>
      </w:r>
    </w:p>
    <w:p w14:paraId="35890DCE" w14:textId="7848052F" w:rsidR="00E81354" w:rsidRDefault="00E81354" w:rsidP="00DA2C22">
      <w:pPr>
        <w:ind w:left="720"/>
        <w:rPr>
          <w:rFonts w:cs="Georgia"/>
          <w:bCs/>
        </w:rPr>
      </w:pPr>
      <w:r>
        <w:rPr>
          <w:rFonts w:cs="Georgia"/>
          <w:bCs/>
        </w:rPr>
        <w:t>Each letter stated that</w:t>
      </w:r>
    </w:p>
    <w:p w14:paraId="63707A52" w14:textId="7AF565BB" w:rsidR="00E81354" w:rsidRPr="00DA2C22" w:rsidRDefault="00DA2C22" w:rsidP="00DA2C22">
      <w:pPr>
        <w:ind w:left="720"/>
        <w:rPr>
          <w:rFonts w:cs="Georgia"/>
          <w:bCs/>
          <w:i/>
          <w:iCs/>
        </w:rPr>
      </w:pPr>
      <w:r>
        <w:rPr>
          <w:rFonts w:cs="Georgia"/>
          <w:bCs/>
        </w:rPr>
        <w:t>“</w:t>
      </w:r>
      <w:r w:rsidR="00E81354" w:rsidRPr="00DA2C22">
        <w:rPr>
          <w:rFonts w:cs="Georgia"/>
          <w:bCs/>
          <w:i/>
          <w:iCs/>
        </w:rPr>
        <w:t xml:space="preserve">Duchess Home LTD has made an application to vary the lease by a majority so that instead of 1/12th of the service charges only 1/26th of the service charges </w:t>
      </w:r>
      <w:r w:rsidR="00E81354" w:rsidRPr="00DA2C22">
        <w:rPr>
          <w:rFonts w:cs="Georgia"/>
          <w:bCs/>
          <w:i/>
          <w:iCs/>
        </w:rPr>
        <w:lastRenderedPageBreak/>
        <w:t>(excluding the maintenance of the roof top occupied by a separate lessor) is chargeable since there are now 14 additional Flats occupying the ground and lower ground floors which protrude to the rear of the building. The original 12 flats remain on the 1st 2nd</w:t>
      </w:r>
      <w:r w:rsidR="008527CF" w:rsidRPr="00DA2C22">
        <w:rPr>
          <w:rFonts w:cs="Georgia"/>
          <w:bCs/>
          <w:i/>
          <w:iCs/>
        </w:rPr>
        <w:t xml:space="preserve"> and 3rd floors of the building</w:t>
      </w:r>
    </w:p>
    <w:p w14:paraId="4224DD3F" w14:textId="250A7F07" w:rsidR="008527CF" w:rsidRPr="00DA2C22" w:rsidRDefault="008527CF" w:rsidP="00DA2C22">
      <w:pPr>
        <w:ind w:left="720"/>
        <w:rPr>
          <w:rFonts w:cs="Georgia"/>
          <w:bCs/>
          <w:i/>
          <w:iCs/>
        </w:rPr>
      </w:pPr>
      <w:r w:rsidRPr="00DA2C22">
        <w:rPr>
          <w:rFonts w:cs="Georgia"/>
          <w:bCs/>
          <w:i/>
          <w:iCs/>
        </w:rPr>
        <w:t>…</w:t>
      </w:r>
    </w:p>
    <w:p w14:paraId="1EB80231" w14:textId="28D8FD6B" w:rsidR="008527CF" w:rsidRPr="00DA2C22" w:rsidRDefault="008527CF" w:rsidP="00DA2C22">
      <w:pPr>
        <w:ind w:left="720"/>
        <w:rPr>
          <w:rFonts w:cs="Georgia"/>
          <w:bCs/>
        </w:rPr>
      </w:pPr>
      <w:r w:rsidRPr="00DA2C22">
        <w:rPr>
          <w:rFonts w:cs="Georgia"/>
          <w:bCs/>
          <w:i/>
          <w:iCs/>
        </w:rPr>
        <w:t xml:space="preserve">Please be informed that as proprietor for </w:t>
      </w:r>
      <w:r w:rsidR="00923B3C" w:rsidRPr="00DA2C22">
        <w:rPr>
          <w:rFonts w:cs="Georgia"/>
          <w:bCs/>
          <w:i/>
          <w:iCs/>
        </w:rPr>
        <w:t>(the</w:t>
      </w:r>
      <w:r w:rsidRPr="00DA2C22">
        <w:rPr>
          <w:rFonts w:cs="Georgia"/>
          <w:bCs/>
          <w:i/>
          <w:iCs/>
        </w:rPr>
        <w:t xml:space="preserve"> relevant flat or part) you may apply to the tribunal to be joined as a party.</w:t>
      </w:r>
      <w:r w:rsidR="00DA2C22">
        <w:rPr>
          <w:rFonts w:cs="Georgia"/>
          <w:bCs/>
        </w:rPr>
        <w:t>”</w:t>
      </w:r>
    </w:p>
    <w:p w14:paraId="26A7D3FB" w14:textId="3585B3F4" w:rsidR="00920F49" w:rsidRDefault="00920F49" w:rsidP="00DA2C22">
      <w:pPr>
        <w:pStyle w:val="Heading1"/>
      </w:pPr>
      <w:r>
        <w:t>The bundle does not record an</w:t>
      </w:r>
      <w:r w:rsidR="00EA0DBA">
        <w:t xml:space="preserve">y responses by any of the above. Turning then to what section 37 requires, whilst there was no opposition from any parties concerned apart from Twincross, there is no evidence of any consent to the proposal otherwise than from Duchess, who counts as two parties concerned, being the leaseholder of flats 5 and 11. That is an insufficient level of consent to satisfy section 37. </w:t>
      </w:r>
    </w:p>
    <w:p w14:paraId="6A998992" w14:textId="0DA9FF54" w:rsidR="00D86177" w:rsidRDefault="001F5082" w:rsidP="001275BF">
      <w:pPr>
        <w:pStyle w:val="Heading1"/>
      </w:pPr>
      <w:r>
        <w:t>That would be the end of the matter unless case 3 can, by means of the tribunal’s case management powers</w:t>
      </w:r>
      <w:r w:rsidR="00FD0189">
        <w:t>, be amended to enable section 35 to be considered</w:t>
      </w:r>
      <w:r>
        <w:t>.</w:t>
      </w:r>
    </w:p>
    <w:p w14:paraId="65557958" w14:textId="730F9E93" w:rsidR="001F5082" w:rsidRDefault="00D86177" w:rsidP="001275BF">
      <w:pPr>
        <w:pStyle w:val="Heading1"/>
      </w:pPr>
      <w:r>
        <w:t xml:space="preserve">The tribunal refers to the following provisions of the Tribunal Procedure First-tier Tribunal </w:t>
      </w:r>
      <w:r w:rsidR="00DC6D24">
        <w:t>Property Chamber Rules 2013 SI No 2013 No 1169</w:t>
      </w:r>
      <w:r w:rsidR="001F5082">
        <w:t xml:space="preserve"> </w:t>
      </w:r>
    </w:p>
    <w:p w14:paraId="3A413563" w14:textId="77777777" w:rsidR="00DC6D24" w:rsidRPr="00C54212" w:rsidRDefault="00DC6D24" w:rsidP="001275BF">
      <w:pPr>
        <w:ind w:left="720"/>
        <w:rPr>
          <w:rFonts w:cs="Georgia"/>
          <w:b/>
          <w:i/>
          <w:iCs/>
        </w:rPr>
      </w:pPr>
      <w:r w:rsidRPr="00C54212">
        <w:rPr>
          <w:rFonts w:cs="Georgia"/>
          <w:b/>
          <w:i/>
          <w:iCs/>
        </w:rPr>
        <w:t>6 Case management powers</w:t>
      </w:r>
    </w:p>
    <w:p w14:paraId="72A9F5D2" w14:textId="77777777" w:rsidR="00DC6D24" w:rsidRPr="00C54212" w:rsidRDefault="00DC6D24" w:rsidP="001275BF">
      <w:pPr>
        <w:ind w:left="720"/>
        <w:rPr>
          <w:rFonts w:cs="Georgia"/>
          <w:bCs/>
          <w:i/>
          <w:iCs/>
        </w:rPr>
      </w:pPr>
      <w:r w:rsidRPr="00C54212">
        <w:rPr>
          <w:rFonts w:cs="Georgia"/>
          <w:bCs/>
          <w:i/>
          <w:iCs/>
        </w:rPr>
        <w:t>(1)     Subject to the provisions of the 2007 Act and any other enactment, the Tribunal may regulate its own procedure.</w:t>
      </w:r>
    </w:p>
    <w:p w14:paraId="7D4877D7" w14:textId="77777777" w:rsidR="00DC6D24" w:rsidRPr="00C54212" w:rsidRDefault="00DC6D24" w:rsidP="001275BF">
      <w:pPr>
        <w:ind w:left="720"/>
        <w:rPr>
          <w:rFonts w:cs="Georgia"/>
          <w:bCs/>
          <w:i/>
          <w:iCs/>
        </w:rPr>
      </w:pPr>
      <w:r w:rsidRPr="00C54212">
        <w:rPr>
          <w:rFonts w:cs="Georgia"/>
          <w:bCs/>
          <w:i/>
          <w:iCs/>
        </w:rPr>
        <w:t>(2)     The Tribunal may give a direction in relation to the conduct or disposal of proceedings at any time, including a direction amending, suspending or setting aside an earlier direction.</w:t>
      </w:r>
    </w:p>
    <w:p w14:paraId="602A6B5D" w14:textId="77777777" w:rsidR="00DC6D24" w:rsidRPr="00C54212" w:rsidRDefault="00DC6D24" w:rsidP="001275BF">
      <w:pPr>
        <w:ind w:left="720"/>
        <w:rPr>
          <w:rFonts w:cs="Georgia"/>
          <w:bCs/>
          <w:i/>
          <w:iCs/>
        </w:rPr>
      </w:pPr>
      <w:r w:rsidRPr="00C54212">
        <w:rPr>
          <w:rFonts w:cs="Georgia"/>
          <w:bCs/>
          <w:i/>
          <w:iCs/>
        </w:rPr>
        <w:t>(3)     In particular, and without restricting the general powers in paragraphs (1) and (2), the Tribunal may—</w:t>
      </w:r>
    </w:p>
    <w:p w14:paraId="5665BD27" w14:textId="7EB0F3DA" w:rsidR="00DC6D24" w:rsidRPr="00C54212" w:rsidRDefault="00DC6D24" w:rsidP="001275BF">
      <w:pPr>
        <w:ind w:left="1440"/>
        <w:rPr>
          <w:rFonts w:cs="Georgia"/>
          <w:bCs/>
          <w:i/>
          <w:iCs/>
        </w:rPr>
      </w:pPr>
      <w:r w:rsidRPr="00C54212">
        <w:rPr>
          <w:rFonts w:cs="Georgia"/>
          <w:bCs/>
          <w:i/>
          <w:iCs/>
        </w:rPr>
        <w:t xml:space="preserve">(a)     </w:t>
      </w:r>
      <w:r w:rsidR="00923B3C" w:rsidRPr="00C54212">
        <w:rPr>
          <w:rFonts w:cs="Georgia"/>
          <w:bCs/>
          <w:i/>
          <w:iCs/>
        </w:rPr>
        <w:t>Extend</w:t>
      </w:r>
      <w:r w:rsidRPr="00C54212">
        <w:rPr>
          <w:rFonts w:cs="Georgia"/>
          <w:bCs/>
          <w:i/>
          <w:iCs/>
        </w:rPr>
        <w:t xml:space="preserve"> or shorten the time for complying with any rule, practice direction or direction, even if the application for an extension is not made until after the time limit has expired;</w:t>
      </w:r>
    </w:p>
    <w:p w14:paraId="1816705D" w14:textId="77777777" w:rsidR="00DC6D24" w:rsidRPr="00C54212" w:rsidRDefault="00DC6D24" w:rsidP="001275BF">
      <w:pPr>
        <w:ind w:left="1440"/>
        <w:rPr>
          <w:rFonts w:cs="Georgia"/>
          <w:bCs/>
          <w:i/>
          <w:iCs/>
        </w:rPr>
      </w:pPr>
      <w:r w:rsidRPr="00C54212">
        <w:rPr>
          <w:rFonts w:cs="Georgia"/>
          <w:bCs/>
          <w:i/>
          <w:iCs/>
        </w:rPr>
        <w:t>(b)     consolidate or hear together two or more sets of proceedings or parts of proceedings raising common issues, or treat a case as a lead case (whether under rule 23 or otherwise);</w:t>
      </w:r>
    </w:p>
    <w:p w14:paraId="2FE1688B" w14:textId="2DC4362D" w:rsidR="00DC6D24" w:rsidRPr="00C54212" w:rsidRDefault="00DC6D24" w:rsidP="001275BF">
      <w:pPr>
        <w:ind w:left="1440"/>
        <w:rPr>
          <w:rFonts w:cs="Georgia"/>
          <w:bCs/>
          <w:i/>
          <w:iCs/>
        </w:rPr>
      </w:pPr>
      <w:r w:rsidRPr="00C54212">
        <w:rPr>
          <w:rFonts w:cs="Georgia"/>
          <w:bCs/>
          <w:i/>
          <w:iCs/>
        </w:rPr>
        <w:t>(c)     permit or require a party to amend a document;</w:t>
      </w:r>
    </w:p>
    <w:p w14:paraId="290FCFE2" w14:textId="77777777" w:rsidR="00DC6D24" w:rsidRPr="00C54212" w:rsidRDefault="00DC6D24" w:rsidP="001275BF">
      <w:pPr>
        <w:ind w:left="720"/>
        <w:rPr>
          <w:rFonts w:cs="Georgia"/>
          <w:b/>
          <w:i/>
          <w:iCs/>
        </w:rPr>
      </w:pPr>
      <w:r w:rsidRPr="00C54212">
        <w:rPr>
          <w:rFonts w:cs="Georgia"/>
          <w:b/>
          <w:i/>
          <w:iCs/>
        </w:rPr>
        <w:t>7 Procedure for applying for and giving directions</w:t>
      </w:r>
    </w:p>
    <w:p w14:paraId="5EA6D7FC" w14:textId="77777777" w:rsidR="00DC6D24" w:rsidRPr="00C54212" w:rsidRDefault="00DC6D24" w:rsidP="001275BF">
      <w:pPr>
        <w:ind w:left="720"/>
        <w:rPr>
          <w:rFonts w:cs="Georgia"/>
          <w:bCs/>
          <w:i/>
          <w:iCs/>
        </w:rPr>
      </w:pPr>
      <w:r w:rsidRPr="00C54212">
        <w:rPr>
          <w:rFonts w:cs="Georgia"/>
          <w:bCs/>
          <w:i/>
          <w:iCs/>
        </w:rPr>
        <w:t>(1)     The Tribunal may give a direction on the application of one or more of the parties or on its own initiative.</w:t>
      </w:r>
    </w:p>
    <w:p w14:paraId="41B8C054" w14:textId="77777777" w:rsidR="00DC6D24" w:rsidRPr="00C54212" w:rsidRDefault="00DC6D24" w:rsidP="001275BF">
      <w:pPr>
        <w:ind w:left="720"/>
        <w:rPr>
          <w:rFonts w:cs="Georgia"/>
          <w:bCs/>
          <w:i/>
          <w:iCs/>
        </w:rPr>
      </w:pPr>
      <w:r w:rsidRPr="00C54212">
        <w:rPr>
          <w:rFonts w:cs="Georgia"/>
          <w:bCs/>
          <w:i/>
          <w:iCs/>
        </w:rPr>
        <w:t>(2)     An application for a direction may be made—</w:t>
      </w:r>
    </w:p>
    <w:p w14:paraId="67B731ED" w14:textId="77777777" w:rsidR="00DC6D24" w:rsidRPr="00C54212" w:rsidRDefault="00DC6D24" w:rsidP="001275BF">
      <w:pPr>
        <w:ind w:left="1440"/>
        <w:rPr>
          <w:rFonts w:cs="Georgia"/>
          <w:bCs/>
          <w:i/>
          <w:iCs/>
        </w:rPr>
      </w:pPr>
      <w:r w:rsidRPr="00C54212">
        <w:rPr>
          <w:rFonts w:cs="Georgia"/>
          <w:bCs/>
          <w:i/>
          <w:iCs/>
        </w:rPr>
        <w:t>(a)     by sending or delivering a written application to the Tribunal; or</w:t>
      </w:r>
    </w:p>
    <w:p w14:paraId="7A034203" w14:textId="77777777" w:rsidR="00DC6D24" w:rsidRPr="00C54212" w:rsidRDefault="00DC6D24" w:rsidP="001275BF">
      <w:pPr>
        <w:ind w:left="1440"/>
        <w:rPr>
          <w:rFonts w:cs="Georgia"/>
          <w:bCs/>
          <w:i/>
          <w:iCs/>
        </w:rPr>
      </w:pPr>
      <w:r w:rsidRPr="00C54212">
        <w:rPr>
          <w:rFonts w:cs="Georgia"/>
          <w:bCs/>
          <w:i/>
          <w:iCs/>
        </w:rPr>
        <w:t>(b)     orally during the course of a hearing.</w:t>
      </w:r>
    </w:p>
    <w:p w14:paraId="6A086306" w14:textId="5828C4FC" w:rsidR="00DC6D24" w:rsidRDefault="00DC6D24" w:rsidP="001275BF">
      <w:pPr>
        <w:ind w:left="720"/>
        <w:rPr>
          <w:rFonts w:cs="Georgia"/>
          <w:bCs/>
          <w:i/>
          <w:iCs/>
        </w:rPr>
      </w:pPr>
      <w:r w:rsidRPr="00C54212">
        <w:rPr>
          <w:rFonts w:cs="Georgia"/>
          <w:bCs/>
          <w:i/>
          <w:iCs/>
        </w:rPr>
        <w:lastRenderedPageBreak/>
        <w:t>(3)     An application for a direction must include the reason for making that application.</w:t>
      </w:r>
    </w:p>
    <w:p w14:paraId="2F19E94A" w14:textId="77777777" w:rsidR="009430E0" w:rsidRPr="00C54212" w:rsidRDefault="009430E0" w:rsidP="001275BF">
      <w:pPr>
        <w:ind w:left="720"/>
        <w:rPr>
          <w:rFonts w:cs="Georgia"/>
          <w:bCs/>
          <w:i/>
          <w:iCs/>
        </w:rPr>
      </w:pPr>
    </w:p>
    <w:p w14:paraId="5B5F1691" w14:textId="79BE65BD" w:rsidR="00DC6D24" w:rsidRDefault="009430E0" w:rsidP="009430E0">
      <w:pPr>
        <w:pStyle w:val="Heading1"/>
      </w:pPr>
      <w:r>
        <w:t xml:space="preserve">It follows that the Tribunal has the power on its own initiative to amend the application in case 3 such that it becomes an application not under section 37 of the 1987 Act but under section 35. In order to achieve that purpose the tribunal may set aside the 10 May 2023 direction identifying case 3 as an application under section 37. No application to set </w:t>
      </w:r>
      <w:r w:rsidR="0046661D">
        <w:t>aside</w:t>
      </w:r>
      <w:r>
        <w:t xml:space="preserve"> the 10 May 2023 directions or to amend the application form is case 3 to make an application expressly under section 35 was made.</w:t>
      </w:r>
    </w:p>
    <w:p w14:paraId="664E0268" w14:textId="68CED4A4" w:rsidR="009430E0" w:rsidRDefault="009430E0" w:rsidP="009430E0">
      <w:pPr>
        <w:pStyle w:val="Heading1"/>
      </w:pPr>
      <w:r>
        <w:t>In order to explain the course the tribunal proposes to take it is necessary to summarise the points made at the hearing</w:t>
      </w:r>
      <w:r w:rsidR="00B446C8">
        <w:t xml:space="preserve"> (unless covered above)</w:t>
      </w:r>
      <w:r>
        <w:t>.</w:t>
      </w:r>
    </w:p>
    <w:p w14:paraId="772E6FA8" w14:textId="2F6761F3" w:rsidR="009430E0" w:rsidRDefault="009430E0" w:rsidP="009430E0">
      <w:pPr>
        <w:pStyle w:val="BodyText"/>
        <w:ind w:left="0"/>
        <w:rPr>
          <w:b/>
          <w:lang w:eastAsia="en-US"/>
        </w:rPr>
      </w:pPr>
      <w:r w:rsidRPr="001408EB">
        <w:rPr>
          <w:b/>
          <w:lang w:eastAsia="en-US"/>
        </w:rPr>
        <w:t>The hearing</w:t>
      </w:r>
    </w:p>
    <w:p w14:paraId="2C257893" w14:textId="7A854552" w:rsidR="006D7231" w:rsidRPr="001408EB" w:rsidRDefault="006D7231" w:rsidP="009430E0">
      <w:pPr>
        <w:pStyle w:val="BodyText"/>
        <w:ind w:left="0"/>
        <w:rPr>
          <w:b/>
          <w:lang w:eastAsia="en-US"/>
        </w:rPr>
      </w:pPr>
      <w:r>
        <w:rPr>
          <w:b/>
          <w:lang w:eastAsia="en-US"/>
        </w:rPr>
        <w:t>The service charge allocation</w:t>
      </w:r>
    </w:p>
    <w:p w14:paraId="084F9178" w14:textId="4459D747" w:rsidR="006D7231" w:rsidRPr="006D7231" w:rsidRDefault="006D7231" w:rsidP="00CE4632">
      <w:pPr>
        <w:pStyle w:val="Heading1"/>
      </w:pPr>
      <w:r w:rsidRPr="006D7231">
        <w:t xml:space="preserve">Mr </w:t>
      </w:r>
      <w:r w:rsidRPr="00CE4632">
        <w:t>Sanger</w:t>
      </w:r>
      <w:r w:rsidR="00930021">
        <w:t xml:space="preserve"> stated that Twincross </w:t>
      </w:r>
      <w:r w:rsidRPr="006D7231">
        <w:t>had arranged that the intermediate landlord of the ground and lower ground floors would pay 40% of the charges incurred in providing services to the whole of the Property. Thus 60% of the charges would</w:t>
      </w:r>
      <w:r w:rsidR="00F75AEC">
        <w:t xml:space="preserve"> be due from the lessees of flat</w:t>
      </w:r>
      <w:r w:rsidRPr="006D7231">
        <w:t>s 1</w:t>
      </w:r>
      <w:r w:rsidR="00F75AEC">
        <w:t xml:space="preserve"> </w:t>
      </w:r>
      <w:r w:rsidRPr="006D7231">
        <w:t xml:space="preserve">to 12 being the flats on the first second and third floors of the </w:t>
      </w:r>
      <w:r w:rsidR="00923B3C" w:rsidRPr="006D7231">
        <w:t>Property. The</w:t>
      </w:r>
      <w:r w:rsidRPr="006D7231">
        <w:t xml:space="preserve"> split of the service charge of 40% payable for the 14</w:t>
      </w:r>
      <w:r w:rsidR="00930021">
        <w:t xml:space="preserve"> new</w:t>
      </w:r>
      <w:r w:rsidRPr="006D7231">
        <w:t xml:space="preserve"> flats and 60% for the pre-existing 12 flats recognised that the 12 flats each had a much larger floor</w:t>
      </w:r>
      <w:r w:rsidR="00930021">
        <w:t xml:space="preserve"> area than each of the 14 flats.</w:t>
      </w:r>
    </w:p>
    <w:p w14:paraId="6F8C5061" w14:textId="4A51C6A6" w:rsidR="006D7231" w:rsidRPr="006D7231" w:rsidRDefault="00F75AEC" w:rsidP="006D7231">
      <w:pPr>
        <w:pStyle w:val="Heading1"/>
      </w:pPr>
      <w:r>
        <w:t>Ms Muorah informed the tribunal that i</w:t>
      </w:r>
      <w:r w:rsidR="006D7231" w:rsidRPr="006D7231">
        <w:t xml:space="preserve">n principle, this arrangement </w:t>
      </w:r>
      <w:r>
        <w:t>met with M</w:t>
      </w:r>
      <w:r w:rsidR="006D7231" w:rsidRPr="006D7231">
        <w:t xml:space="preserve">s </w:t>
      </w:r>
      <w:r w:rsidR="00930021">
        <w:t xml:space="preserve">Muorah’s </w:t>
      </w:r>
      <w:r w:rsidR="006D7231" w:rsidRPr="006D7231">
        <w:t>approval save for the question of the repair of the flat roof.</w:t>
      </w:r>
    </w:p>
    <w:p w14:paraId="52413CB5" w14:textId="4E26804C" w:rsidR="006D7231" w:rsidRPr="006D7231" w:rsidRDefault="006D7231" w:rsidP="00E310D8">
      <w:pPr>
        <w:pStyle w:val="Heading1"/>
      </w:pPr>
      <w:r w:rsidRPr="006D7231">
        <w:t xml:space="preserve">It was Ms Muorah’s position that, save for the costs of the repair of the </w:t>
      </w:r>
      <w:r w:rsidR="00930021" w:rsidRPr="006D7231">
        <w:t>flat</w:t>
      </w:r>
      <w:r w:rsidRPr="006D7231">
        <w:t xml:space="preserve"> roof</w:t>
      </w:r>
      <w:r w:rsidR="00923B3C" w:rsidRPr="006D7231">
        <w:t>, each</w:t>
      </w:r>
      <w:r w:rsidRPr="006D7231">
        <w:t xml:space="preserve"> flat should pay only 1/26</w:t>
      </w:r>
      <w:r w:rsidRPr="00930021">
        <w:rPr>
          <w:vertAlign w:val="superscript"/>
        </w:rPr>
        <w:t>th</w:t>
      </w:r>
      <w:r w:rsidRPr="006D7231">
        <w:t xml:space="preserve"> of the service charge expenses</w:t>
      </w:r>
      <w:r w:rsidR="00930021">
        <w:t xml:space="preserve"> apart from the cost of repair and maintenance to the flat roof</w:t>
      </w:r>
      <w:r w:rsidRPr="006D7231">
        <w:t>. The flat owners should not pay any part of the cost of the flat roof repair</w:t>
      </w:r>
      <w:r w:rsidR="00930021">
        <w:t xml:space="preserve"> or maintenance</w:t>
      </w:r>
      <w:r w:rsidRPr="006D7231">
        <w:t>. The reasoning for each flat paying 1/26</w:t>
      </w:r>
      <w:r w:rsidRPr="00930021">
        <w:rPr>
          <w:vertAlign w:val="superscript"/>
        </w:rPr>
        <w:t>th</w:t>
      </w:r>
      <w:r w:rsidRPr="006D7231">
        <w:t xml:space="preserve"> of the expenses save for those relating to the flat roof is because there were 26 flats to share the lia</w:t>
      </w:r>
      <w:r w:rsidR="00930021">
        <w:t>bility.</w:t>
      </w:r>
    </w:p>
    <w:p w14:paraId="5A854B87" w14:textId="265E1C85" w:rsidR="005507E4" w:rsidRDefault="00F75AEC" w:rsidP="006D7231">
      <w:pPr>
        <w:pStyle w:val="Heading1"/>
      </w:pPr>
      <w:r>
        <w:t xml:space="preserve">Points raised by </w:t>
      </w:r>
      <w:r w:rsidR="006D7231" w:rsidRPr="006D7231">
        <w:t>Ms Muorah</w:t>
      </w:r>
      <w:r>
        <w:t xml:space="preserve"> as being </w:t>
      </w:r>
      <w:r w:rsidR="005507E4">
        <w:t>relevant to the allocation of the cost of re</w:t>
      </w:r>
      <w:r w:rsidR="00930021">
        <w:t>p</w:t>
      </w:r>
      <w:r w:rsidR="005507E4">
        <w:t>airing and maintaining the roof were as follows.</w:t>
      </w:r>
    </w:p>
    <w:p w14:paraId="4FCD2729" w14:textId="2F92BEB5" w:rsidR="006D7231" w:rsidRDefault="005507E4" w:rsidP="006D7231">
      <w:pPr>
        <w:pStyle w:val="Heading1"/>
      </w:pPr>
      <w:r>
        <w:t>Ms Muorah</w:t>
      </w:r>
      <w:r w:rsidR="006D7231" w:rsidRPr="006D7231">
        <w:t xml:space="preserve"> noted that On Tower had paid Twincross £250,000 for a 50 year lease without a service charge. Ms Muo</w:t>
      </w:r>
      <w:r w:rsidR="00BF5A4B">
        <w:t>r</w:t>
      </w:r>
      <w:r w:rsidR="006D7231" w:rsidRPr="006D7231">
        <w:t xml:space="preserve">ah submitted that the amount of the premium reflected the absence of any service </w:t>
      </w:r>
      <w:r w:rsidR="00F50464">
        <w:t xml:space="preserve">charge </w:t>
      </w:r>
      <w:r w:rsidR="006D7231" w:rsidRPr="006D7231">
        <w:t xml:space="preserve">liability. Therefore, as Twincross had received the </w:t>
      </w:r>
      <w:r>
        <w:t>premium, the cost of repairing and maintaining t</w:t>
      </w:r>
      <w:r w:rsidR="006D7231" w:rsidRPr="006D7231">
        <w:t>he roof should be absorbed by Twincross</w:t>
      </w:r>
      <w:r w:rsidR="00F50464">
        <w:t>.</w:t>
      </w:r>
    </w:p>
    <w:p w14:paraId="70E8B9C4" w14:textId="4186C56F" w:rsidR="00F50464" w:rsidRPr="006D7231" w:rsidRDefault="00F50464" w:rsidP="00F50464">
      <w:pPr>
        <w:pStyle w:val="Heading1"/>
      </w:pPr>
      <w:r w:rsidRPr="006D7231">
        <w:t>Ms Muo</w:t>
      </w:r>
      <w:r w:rsidR="00930021">
        <w:t>r</w:t>
      </w:r>
      <w:r w:rsidRPr="006D7231">
        <w:t>ah stated that whereas the residents in the Property used to be able to visit the flat roof (some would sunbathe there</w:t>
      </w:r>
      <w:r w:rsidR="00923B3C" w:rsidRPr="006D7231">
        <w:t>) the</w:t>
      </w:r>
      <w:r w:rsidRPr="006D7231">
        <w:t xml:space="preserve"> roof is now locked permanently. Ms Muo</w:t>
      </w:r>
      <w:r w:rsidR="00930021">
        <w:t>r</w:t>
      </w:r>
      <w:r w:rsidRPr="006D7231">
        <w:t>ah claimed that the residents had</w:t>
      </w:r>
      <w:r w:rsidR="00930021">
        <w:t xml:space="preserve"> thereby</w:t>
      </w:r>
      <w:r w:rsidRPr="006D7231">
        <w:t xml:space="preserve"> suffered a loss of amenity. The Tribunal disagrees. The rights granted to the lessees under the lease</w:t>
      </w:r>
      <w:r w:rsidR="00BF5A4B">
        <w:t>s</w:t>
      </w:r>
      <w:r w:rsidRPr="006D7231">
        <w:t xml:space="preserve"> of flat 5</w:t>
      </w:r>
      <w:r w:rsidR="00BF5A4B">
        <w:t xml:space="preserve"> and 11</w:t>
      </w:r>
      <w:r w:rsidRPr="006D7231">
        <w:t xml:space="preserve"> did not include any right for Duchess to have access to the flat roof for amenity purposes.</w:t>
      </w:r>
      <w:r w:rsidR="00BF5A4B">
        <w:t xml:space="preserve"> </w:t>
      </w:r>
    </w:p>
    <w:p w14:paraId="63879A36" w14:textId="19C88083" w:rsidR="006D7231" w:rsidRPr="006D7231" w:rsidRDefault="001D2ABD" w:rsidP="00BF5A4B">
      <w:pPr>
        <w:pStyle w:val="Heading1"/>
      </w:pPr>
      <w:r w:rsidRPr="006D7231">
        <w:lastRenderedPageBreak/>
        <w:t>Ms Muorah complained that for the last 20 years, water had penetrated Duchess’s flats from the roof. This was because of want of repair arising from the masts on the flat roof.</w:t>
      </w:r>
      <w:r>
        <w:t xml:space="preserve"> </w:t>
      </w:r>
      <w:r w:rsidRPr="006D7231">
        <w:t>Neither party had presented any evidence to the tribunal as to the extent or cause of the flooding</w:t>
      </w:r>
      <w:r w:rsidR="00153D0C">
        <w:t>.</w:t>
      </w:r>
    </w:p>
    <w:p w14:paraId="32B4AE90" w14:textId="58E71F52" w:rsidR="006D7231" w:rsidRPr="006D7231" w:rsidRDefault="006D7231" w:rsidP="00153D0C">
      <w:pPr>
        <w:pStyle w:val="Heading1"/>
      </w:pPr>
      <w:r w:rsidRPr="006D7231">
        <w:t>It was Mr Sanger’s position that each flat on the first second and third floors should pay 1/12</w:t>
      </w:r>
      <w:r w:rsidRPr="006D7231">
        <w:rPr>
          <w:vertAlign w:val="superscript"/>
        </w:rPr>
        <w:t>th</w:t>
      </w:r>
      <w:r w:rsidRPr="006D7231">
        <w:t xml:space="preserve"> of the service charge of the 60% of the total cost invoiced b</w:t>
      </w:r>
      <w:r w:rsidR="00BF5A4B">
        <w:t>y Nextgen to the liable lessees, including the costs of repair and maintenance of the flat roof</w:t>
      </w:r>
      <w:r w:rsidR="00CE4632">
        <w:t>.</w:t>
      </w:r>
    </w:p>
    <w:p w14:paraId="58998CD9" w14:textId="1E33255D" w:rsidR="006D7231" w:rsidRDefault="006D7231" w:rsidP="006D7231">
      <w:pPr>
        <w:pStyle w:val="Heading1"/>
      </w:pPr>
      <w:r w:rsidRPr="006D7231">
        <w:t>Mr Sanger submitted that</w:t>
      </w:r>
      <w:r w:rsidR="00BF5A4B">
        <w:t xml:space="preserve"> s</w:t>
      </w:r>
      <w:r w:rsidR="00BF5A4B" w:rsidRPr="006D7231">
        <w:t xml:space="preserve">uch was the </w:t>
      </w:r>
      <w:r w:rsidR="00BF5A4B">
        <w:t>protection</w:t>
      </w:r>
      <w:r w:rsidR="00BF5A4B" w:rsidRPr="006D7231">
        <w:t xml:space="preserve"> given to telecommunications operators by the Electronic Communications Code</w:t>
      </w:r>
      <w:r w:rsidR="00BF5A4B">
        <w:t>,</w:t>
      </w:r>
      <w:r w:rsidR="00BF5A4B" w:rsidRPr="006D7231">
        <w:t xml:space="preserve"> </w:t>
      </w:r>
      <w:r w:rsidRPr="006D7231">
        <w:t xml:space="preserve">there was nothing that he could have done to remove the telecommunications masts present on the flat roof when Twincross purchased the </w:t>
      </w:r>
      <w:r w:rsidR="00BF5A4B">
        <w:t>Building. T</w:t>
      </w:r>
      <w:r w:rsidRPr="006D7231">
        <w:t xml:space="preserve">here was no Code issue </w:t>
      </w:r>
      <w:r w:rsidR="00BF5A4B">
        <w:t>for decision by</w:t>
      </w:r>
      <w:r w:rsidRPr="006D7231">
        <w:t xml:space="preserve"> </w:t>
      </w:r>
      <w:r w:rsidR="00BF5A4B">
        <w:t>the tribunal</w:t>
      </w:r>
      <w:r w:rsidRPr="006D7231">
        <w:t xml:space="preserve"> at the hearing and the tribunal is </w:t>
      </w:r>
      <w:r w:rsidR="00BF5A4B">
        <w:t>simply</w:t>
      </w:r>
      <w:r w:rsidRPr="006D7231">
        <w:t xml:space="preserve"> recording Mr Sanger’s comments as to the background to this dispute.</w:t>
      </w:r>
    </w:p>
    <w:p w14:paraId="2B2D30CF" w14:textId="5FFC8EFB" w:rsidR="000B49DB" w:rsidRPr="000B49DB" w:rsidRDefault="000B49DB" w:rsidP="000B49DB">
      <w:pPr>
        <w:pStyle w:val="Heading1"/>
      </w:pPr>
      <w:r>
        <w:t xml:space="preserve">At the hearing, Duchess proposed a variation of the service charges in the leases of the Properties such that for each of the two flats, the lessee would be </w:t>
      </w:r>
      <w:r w:rsidR="00923B3C">
        <w:t>liable</w:t>
      </w:r>
      <w:r>
        <w:t xml:space="preserve"> for 0ne-twenty-sixth of the service charge costs save that the lessee would have no liability for the repair and maintenance of the flat roof. Twincross agreed that there should be a variation</w:t>
      </w:r>
      <w:r w:rsidR="007D1530">
        <w:t xml:space="preserve"> to provide that </w:t>
      </w:r>
      <w:r w:rsidR="00923B3C">
        <w:t>the lessee</w:t>
      </w:r>
      <w:r w:rsidR="007D1530">
        <w:t xml:space="preserve"> would be liable for each flat in respect of one </w:t>
      </w:r>
      <w:r w:rsidR="00923B3C">
        <w:t>twelfth</w:t>
      </w:r>
      <w:r w:rsidR="007D1530">
        <w:t xml:space="preserve"> of the 60% of the total costs of the services provided to the Building including the costs of repairs and maintenance to the flat roof.</w:t>
      </w:r>
    </w:p>
    <w:p w14:paraId="5356D963" w14:textId="09C073AB" w:rsidR="00F30C62" w:rsidRDefault="007D1530" w:rsidP="00F30C62">
      <w:pPr>
        <w:pStyle w:val="Heading1"/>
      </w:pPr>
      <w:r>
        <w:t>At the hearing, neither party referred to any case law. The arguments came down to these points:</w:t>
      </w:r>
    </w:p>
    <w:p w14:paraId="37222C5B" w14:textId="45488D85" w:rsidR="007D1530" w:rsidRDefault="00092D8F" w:rsidP="007D1530">
      <w:pPr>
        <w:pStyle w:val="Heading2"/>
      </w:pPr>
      <w:r>
        <w:t xml:space="preserve">Duchess contended that the presence of the telecommunications </w:t>
      </w:r>
      <w:r w:rsidR="00E15F4B">
        <w:t>apparatus</w:t>
      </w:r>
      <w:r>
        <w:t xml:space="preserve"> on the flat roof caused or aggravated water ingress from the flat roof experienced by some flats</w:t>
      </w:r>
    </w:p>
    <w:p w14:paraId="2372A827" w14:textId="4A62B123" w:rsidR="00092D8F" w:rsidRDefault="00092D8F" w:rsidP="00092D8F">
      <w:pPr>
        <w:pStyle w:val="Heading2"/>
      </w:pPr>
      <w:r>
        <w:t xml:space="preserve">By granting a lease to On Tower without a service charge payable by On Tower, Twincross had </w:t>
      </w:r>
      <w:r w:rsidR="00137A8D">
        <w:t>made its decision not to seek a service charge contribution from On Tower, making it reasonable for Twincross to bear that cost itself.</w:t>
      </w:r>
    </w:p>
    <w:p w14:paraId="4732755D" w14:textId="501D4383" w:rsidR="00137A8D" w:rsidRDefault="00137A8D" w:rsidP="00137A8D">
      <w:pPr>
        <w:pStyle w:val="Heading2"/>
      </w:pPr>
      <w:r>
        <w:t xml:space="preserve">Twincross contended that if the lessees of the flats did not pay the cost of </w:t>
      </w:r>
      <w:r w:rsidR="00923B3C">
        <w:t>repairing</w:t>
      </w:r>
      <w:r>
        <w:t xml:space="preserve"> or maintaining the flat roof then no other source for the funds required would be available;</w:t>
      </w:r>
    </w:p>
    <w:p w14:paraId="52174575" w14:textId="4216C90E" w:rsidR="007D1530" w:rsidRPr="007D1530" w:rsidRDefault="00137A8D" w:rsidP="006D06EE">
      <w:pPr>
        <w:pStyle w:val="Heading2"/>
      </w:pPr>
      <w:r>
        <w:t>The integrity of the flat roof was a matter in which all lessees had an interest whichever floor their flat or flats were located on.</w:t>
      </w:r>
    </w:p>
    <w:p w14:paraId="6502EF42" w14:textId="4C03E246" w:rsidR="00F41AF9" w:rsidRDefault="00F41AF9" w:rsidP="007D1530">
      <w:pPr>
        <w:pStyle w:val="Heading1"/>
        <w:numPr>
          <w:ilvl w:val="0"/>
          <w:numId w:val="0"/>
        </w:numPr>
        <w:ind w:left="720"/>
      </w:pPr>
    </w:p>
    <w:p w14:paraId="6813A217" w14:textId="7BB407E9" w:rsidR="00F41AF9" w:rsidRDefault="00F41AF9" w:rsidP="00F41AF9">
      <w:pPr>
        <w:pStyle w:val="Heading1"/>
        <w:numPr>
          <w:ilvl w:val="0"/>
          <w:numId w:val="0"/>
        </w:numPr>
        <w:rPr>
          <w:b/>
        </w:rPr>
      </w:pPr>
      <w:r w:rsidRPr="00F41AF9">
        <w:rPr>
          <w:b/>
        </w:rPr>
        <w:t>DISCUSSION</w:t>
      </w:r>
    </w:p>
    <w:p w14:paraId="2BA997B9" w14:textId="6FD57DC3" w:rsidR="00923693" w:rsidRDefault="00F41AF9" w:rsidP="004C2E30">
      <w:pPr>
        <w:pStyle w:val="Heading1"/>
      </w:pPr>
      <w:r>
        <w:t>The tribunal has directed itself that having regard to the authorities of</w:t>
      </w:r>
      <w:r w:rsidR="00896EDC">
        <w:t xml:space="preserve"> </w:t>
      </w:r>
      <w:r w:rsidR="000C6FE8" w:rsidRPr="00896EDC">
        <w:rPr>
          <w:i/>
        </w:rPr>
        <w:t>Cleary</w:t>
      </w:r>
      <w:r w:rsidR="00896EDC" w:rsidRPr="00896EDC">
        <w:rPr>
          <w:i/>
        </w:rPr>
        <w:t xml:space="preserve"> v Lakeside Developments</w:t>
      </w:r>
      <w:r w:rsidR="000C6FE8" w:rsidRPr="00896EDC">
        <w:rPr>
          <w:i/>
        </w:rPr>
        <w:t xml:space="preserve"> </w:t>
      </w:r>
      <w:r w:rsidR="000C6FE8">
        <w:t>2011 UKUT</w:t>
      </w:r>
      <w:r w:rsidR="00923693">
        <w:t xml:space="preserve"> </w:t>
      </w:r>
      <w:r w:rsidR="000C6FE8">
        <w:t>264  LC</w:t>
      </w:r>
      <w:r w:rsidR="00896EDC">
        <w:t xml:space="preserve">, </w:t>
      </w:r>
      <w:r w:rsidR="000C6FE8" w:rsidRPr="00896EDC">
        <w:rPr>
          <w:i/>
        </w:rPr>
        <w:t>Triplerose v Stride</w:t>
      </w:r>
      <w:r w:rsidR="000C6FE8">
        <w:t xml:space="preserve"> 2019 UKUT 99 LC</w:t>
      </w:r>
      <w:r w:rsidR="00896EDC">
        <w:t xml:space="preserve"> and </w:t>
      </w:r>
      <w:r w:rsidR="000C6FE8" w:rsidRPr="00896EDC">
        <w:rPr>
          <w:i/>
        </w:rPr>
        <w:t>Camden v Morath</w:t>
      </w:r>
      <w:r w:rsidR="000C6FE8">
        <w:t xml:space="preserve"> 2019 UKUT 193 LC </w:t>
      </w:r>
      <w:r w:rsidR="00896EDC">
        <w:t xml:space="preserve">a </w:t>
      </w:r>
      <w:r w:rsidR="00923693">
        <w:t>variation under section 35 of the 1987 Act should be ordered only if the lease is neither clear nor workable.</w:t>
      </w:r>
    </w:p>
    <w:p w14:paraId="6B9C8F94" w14:textId="31AF02D4" w:rsidR="00923693" w:rsidRDefault="00923693" w:rsidP="00896EDC">
      <w:pPr>
        <w:pStyle w:val="Heading1"/>
      </w:pPr>
      <w:r>
        <w:t>The tribunal considers that since the occupational leases of flats 1 to 12 were first granted there have been two significant changes at the Property being:</w:t>
      </w:r>
    </w:p>
    <w:p w14:paraId="220C5975" w14:textId="35C2820B" w:rsidR="00923693" w:rsidRDefault="00923693" w:rsidP="00923693">
      <w:pPr>
        <w:pStyle w:val="Heading2"/>
      </w:pPr>
      <w:r>
        <w:lastRenderedPageBreak/>
        <w:t>The conversion of the ground and lower ground floors to residential use and the service charge sharing as contemplated by Twincross; and</w:t>
      </w:r>
    </w:p>
    <w:p w14:paraId="0203BB43" w14:textId="5BEBA7FB" w:rsidR="00923693" w:rsidRDefault="00923693" w:rsidP="00923693">
      <w:pPr>
        <w:pStyle w:val="Heading2"/>
      </w:pPr>
      <w:r>
        <w:t>The grant of the 50 year lease of the roof space at no service charge.</w:t>
      </w:r>
    </w:p>
    <w:p w14:paraId="7A981F06" w14:textId="13B8F330" w:rsidR="00923693" w:rsidRDefault="00923693" w:rsidP="00923693">
      <w:pPr>
        <w:pStyle w:val="BodyText"/>
        <w:rPr>
          <w:lang w:eastAsia="en-US"/>
        </w:rPr>
      </w:pPr>
      <w:r>
        <w:rPr>
          <w:lang w:eastAsia="en-US"/>
        </w:rPr>
        <w:t xml:space="preserve">It is arguable </w:t>
      </w:r>
      <w:r w:rsidR="00896EDC">
        <w:rPr>
          <w:lang w:eastAsia="en-US"/>
        </w:rPr>
        <w:t>(but the tribunal has not reached a decision</w:t>
      </w:r>
      <w:r w:rsidR="00E15F4B">
        <w:rPr>
          <w:lang w:eastAsia="en-US"/>
        </w:rPr>
        <w:t xml:space="preserve"> on the point) </w:t>
      </w:r>
      <w:r>
        <w:rPr>
          <w:lang w:eastAsia="en-US"/>
        </w:rPr>
        <w:t xml:space="preserve">that these factors make the leases </w:t>
      </w:r>
      <w:r w:rsidR="00896EDC">
        <w:rPr>
          <w:lang w:eastAsia="en-US"/>
        </w:rPr>
        <w:t xml:space="preserve">of the Properties </w:t>
      </w:r>
      <w:r>
        <w:rPr>
          <w:lang w:eastAsia="en-US"/>
        </w:rPr>
        <w:t>in their original form both unclear and unworkable</w:t>
      </w:r>
      <w:r w:rsidR="00896EDC">
        <w:rPr>
          <w:lang w:eastAsia="en-US"/>
        </w:rPr>
        <w:t>,</w:t>
      </w:r>
      <w:r>
        <w:rPr>
          <w:lang w:eastAsia="en-US"/>
        </w:rPr>
        <w:t xml:space="preserve"> having been over taken by events. </w:t>
      </w:r>
      <w:r w:rsidR="00035F6C">
        <w:rPr>
          <w:lang w:eastAsia="en-US"/>
        </w:rPr>
        <w:t xml:space="preserve">There is force in the argument that unless the leases are varied to make it clear that the service charges recoverable from the twelve flats are limited to the 60% not invoiced to the landlord of the ground and lower ground floors, that there is a material lack of clarity. Equally, the service charge regime is unworkable </w:t>
      </w:r>
      <w:r w:rsidR="00B157C1">
        <w:rPr>
          <w:lang w:eastAsia="en-US"/>
        </w:rPr>
        <w:t>if, in the absence of good reason, Twincross cannot recover in respect of all proper costs.</w:t>
      </w:r>
    </w:p>
    <w:p w14:paraId="39563FB2" w14:textId="77777777" w:rsidR="00B157C1" w:rsidRDefault="00B157C1" w:rsidP="00923693">
      <w:pPr>
        <w:pStyle w:val="BodyText"/>
        <w:rPr>
          <w:lang w:eastAsia="en-US"/>
        </w:rPr>
      </w:pPr>
    </w:p>
    <w:p w14:paraId="3D8EF95D" w14:textId="3C9A6305" w:rsidR="00896EDC" w:rsidRDefault="00B157C1" w:rsidP="00896EDC">
      <w:pPr>
        <w:pStyle w:val="Heading1"/>
      </w:pPr>
      <w:r>
        <w:t>The tribunal has the following options. First, it can exercise its case management powers to treat the application as an application in case 3 as made under section 35 of the 1987 Act and go on to determine that application. Secondly, the tribunal can decline to exercise those powers and for the reason given above, dismiss the application under section 37. Thirdly, the tribunal could direct that the application be amended so that it is an application under section 35 and then make directions before the matter comes back before the tribunal for a full hearing and decision.</w:t>
      </w:r>
    </w:p>
    <w:p w14:paraId="09D59C59" w14:textId="25AF4EA8" w:rsidR="00F46D4F" w:rsidRDefault="00F46D4F" w:rsidP="00F46D4F">
      <w:pPr>
        <w:pStyle w:val="Heading1"/>
      </w:pPr>
      <w:r>
        <w:t xml:space="preserve">The parties were directed to prepare for a hearing at which the application in case 3 was an application under section 37. That application cannot proceed. This may explain why Mr Sanger had not submitted any evidence or a skeleton argument to the Tribunal. </w:t>
      </w:r>
    </w:p>
    <w:p w14:paraId="516937B5" w14:textId="70CB6453" w:rsidR="00F46D4F" w:rsidRDefault="00F46D4F" w:rsidP="00F46D4F">
      <w:pPr>
        <w:pStyle w:val="Heading1"/>
      </w:pPr>
      <w:r>
        <w:t xml:space="preserve">It was only at the hearing that the tribunal learned of the waiver of charges proposed by Mr Sanger up to 31 December 2022 and the transactions since 2016 referred to above and the ownership structure. The tribunal would expect to see evidence of the negotiations between Twincross and the purchaser of the long lease of the ground and basement floors. </w:t>
      </w:r>
      <w:r w:rsidR="00A66DBC">
        <w:t>The detail of the variation that each party might now propose is likely to differ from what was in the application given what is now known and recorded above</w:t>
      </w:r>
    </w:p>
    <w:p w14:paraId="30E03A4E" w14:textId="7004E5F6" w:rsidR="00A66DBC" w:rsidRPr="00A66DBC" w:rsidRDefault="00A66DBC" w:rsidP="00A66DBC">
      <w:pPr>
        <w:pStyle w:val="Heading1"/>
      </w:pPr>
      <w:r>
        <w:t>The tribunal also has in mind that the variation proposed by Duchess would apply with equal force to the lessees of all the flats on the first,</w:t>
      </w:r>
      <w:r w:rsidR="00923B3C">
        <w:t xml:space="preserve"> second</w:t>
      </w:r>
      <w:r>
        <w:t xml:space="preserve"> and third floors not just flats 5 and 11. The property management problems identified at the hearing –how to confirm the division of service costs between flats 1-12 and 13-26 and how to provide for the repair and maintenance of the flat roof, lend themselves to a solution that includes all flats under section 37, rather than a bilateral solution between Duchess and Twincross alone under section 35.</w:t>
      </w:r>
    </w:p>
    <w:p w14:paraId="79959957" w14:textId="1D6B96C2" w:rsidR="00082602" w:rsidRDefault="00082602" w:rsidP="0037575B">
      <w:pPr>
        <w:pStyle w:val="Heading1"/>
      </w:pPr>
      <w:r>
        <w:t>Accordingly, the tribunal has concluded that it should not amend the application in case 3 on its own initiative.</w:t>
      </w:r>
      <w:r w:rsidR="003F240C">
        <w:t xml:space="preserve"> </w:t>
      </w:r>
      <w:r>
        <w:t xml:space="preserve">The better course would be for the tribunal to dismiss the </w:t>
      </w:r>
      <w:r w:rsidR="00923B3C">
        <w:t>present application</w:t>
      </w:r>
      <w:r>
        <w:t xml:space="preserve"> under section 37.</w:t>
      </w:r>
    </w:p>
    <w:p w14:paraId="01264F86" w14:textId="12A5AD03" w:rsidR="00082602" w:rsidRDefault="00082602" w:rsidP="00235CC4">
      <w:pPr>
        <w:pStyle w:val="Heading1"/>
      </w:pPr>
      <w:r>
        <w:t>The parties should consider, preferably with legal advice</w:t>
      </w:r>
      <w:r w:rsidR="00235CC4">
        <w:t>,</w:t>
      </w:r>
      <w:r>
        <w:t xml:space="preserve"> how each of the leases of individual flats could be varied to take account satisfactorily with the matters discussed above. </w:t>
      </w:r>
      <w:r w:rsidR="0035245C">
        <w:t xml:space="preserve">This will involve the parties seeking to agree what proportion of the costs of repairing and </w:t>
      </w:r>
      <w:r w:rsidR="00923B3C">
        <w:t>maintaining</w:t>
      </w:r>
      <w:r w:rsidR="0035245C">
        <w:t xml:space="preserve"> the flat roof should pass to the lessees of </w:t>
      </w:r>
      <w:r w:rsidR="00927D28">
        <w:t>flats</w:t>
      </w:r>
      <w:r w:rsidR="0035245C">
        <w:t xml:space="preserve"> 1 to </w:t>
      </w:r>
      <w:r w:rsidR="0035245C">
        <w:lastRenderedPageBreak/>
        <w:t xml:space="preserve">12 and what proportion should be </w:t>
      </w:r>
      <w:r w:rsidR="00923B3C">
        <w:t>borne</w:t>
      </w:r>
      <w:r w:rsidR="0035245C">
        <w:t xml:space="preserve"> by Twincross. Agreement should be sought with all concerned including but not limited to Duchess.</w:t>
      </w:r>
    </w:p>
    <w:p w14:paraId="0A50F37C" w14:textId="1F93022B" w:rsidR="003F240C" w:rsidRPr="003F240C" w:rsidRDefault="00235CC4" w:rsidP="004A13CD">
      <w:pPr>
        <w:pStyle w:val="Heading1"/>
      </w:pPr>
      <w:r>
        <w:t xml:space="preserve">The </w:t>
      </w:r>
      <w:r w:rsidRPr="003F240C">
        <w:t>tribunal</w:t>
      </w:r>
      <w:r>
        <w:t xml:space="preserve"> have not heard submissions on what order to make on Duchess</w:t>
      </w:r>
      <w:r w:rsidR="003F13ED">
        <w:t>’</w:t>
      </w:r>
      <w:r>
        <w:t xml:space="preserve"> application as to the recovery of costs under section 20C of the 1985 Act. The parties are directed to make short submissions by email to the tribunal by 5pm on </w:t>
      </w:r>
      <w:r w:rsidR="003F240C">
        <w:t>Friday 13 October 2023</w:t>
      </w:r>
      <w:r>
        <w:t>.</w:t>
      </w:r>
    </w:p>
    <w:p w14:paraId="0EA444FF" w14:textId="74D6A97F" w:rsidR="0065289F" w:rsidRDefault="0065289F" w:rsidP="001F20A1">
      <w:pPr>
        <w:tabs>
          <w:tab w:val="left" w:pos="720"/>
        </w:tabs>
        <w:jc w:val="both"/>
        <w:textAlignment w:val="baseline"/>
        <w:rPr>
          <w:rFonts w:eastAsia="Georgia"/>
          <w:b/>
          <w:color w:val="000000"/>
        </w:rPr>
      </w:pPr>
      <w:r w:rsidRPr="0065289F">
        <w:rPr>
          <w:rFonts w:eastAsia="Georgia"/>
          <w:b/>
          <w:color w:val="000000"/>
        </w:rPr>
        <w:t>DECISION</w:t>
      </w:r>
    </w:p>
    <w:p w14:paraId="442182FD" w14:textId="77777777" w:rsidR="003F240C" w:rsidRDefault="003F240C" w:rsidP="003F240C">
      <w:pPr>
        <w:pStyle w:val="Heading1"/>
      </w:pPr>
      <w:r>
        <w:t>The tribunal’s decision is that:</w:t>
      </w:r>
    </w:p>
    <w:p w14:paraId="6A316B3D" w14:textId="03418D38" w:rsidR="003F240C" w:rsidRDefault="003F240C" w:rsidP="003F240C">
      <w:pPr>
        <w:pStyle w:val="Heading2"/>
      </w:pPr>
      <w:r>
        <w:t xml:space="preserve"> Case 186 is withdrawn;</w:t>
      </w:r>
    </w:p>
    <w:p w14:paraId="04D33C5E" w14:textId="11D2070D" w:rsidR="003F240C" w:rsidRDefault="003F240C" w:rsidP="003F240C">
      <w:pPr>
        <w:pStyle w:val="Heading2"/>
      </w:pPr>
      <w:r>
        <w:t>Case 3 is dismissed.</w:t>
      </w:r>
    </w:p>
    <w:p w14:paraId="2580CF4F" w14:textId="53E9B3E1" w:rsidR="003F240C" w:rsidRPr="003F13ED" w:rsidRDefault="003F240C" w:rsidP="00E938CC">
      <w:pPr>
        <w:pStyle w:val="Heading2"/>
        <w:tabs>
          <w:tab w:val="left" w:pos="720"/>
        </w:tabs>
        <w:textAlignment w:val="baseline"/>
        <w:rPr>
          <w:rFonts w:eastAsia="Georgia"/>
          <w:b/>
          <w:color w:val="000000"/>
        </w:rPr>
      </w:pPr>
      <w:r>
        <w:t>The tribunal will consider the section 20C application as directed above.</w:t>
      </w:r>
    </w:p>
    <w:p w14:paraId="06AD07FB" w14:textId="5F7DBAFB" w:rsidR="00210A07" w:rsidRPr="003F240C" w:rsidRDefault="00210A07" w:rsidP="003F240C">
      <w:pPr>
        <w:pStyle w:val="Heading1"/>
        <w:numPr>
          <w:ilvl w:val="0"/>
          <w:numId w:val="0"/>
        </w:numPr>
      </w:pPr>
      <w:r w:rsidRPr="003F240C">
        <w:rPr>
          <w:rFonts w:cs="Georgia"/>
          <w:b/>
        </w:rPr>
        <w:t>Tribunal Judge R Cohen</w:t>
      </w:r>
    </w:p>
    <w:p w14:paraId="076FC112" w14:textId="6BF821BF" w:rsidR="005C779D" w:rsidRDefault="005C779D" w:rsidP="001F20A1">
      <w:pPr>
        <w:jc w:val="both"/>
        <w:rPr>
          <w:rFonts w:cs="Georgia"/>
        </w:rPr>
      </w:pPr>
    </w:p>
    <w:p w14:paraId="6450D304" w14:textId="10ED6181" w:rsidR="0026684D" w:rsidRPr="0026684D" w:rsidRDefault="009D199D" w:rsidP="001F20A1">
      <w:pPr>
        <w:suppressAutoHyphens w:val="0"/>
        <w:jc w:val="center"/>
        <w:rPr>
          <w:b/>
          <w:u w:val="single"/>
        </w:rPr>
      </w:pPr>
      <w:r w:rsidRPr="0026684D">
        <w:rPr>
          <w:b/>
          <w:u w:val="single"/>
        </w:rPr>
        <w:t>RIGHTS OF APPEAL</w:t>
      </w:r>
    </w:p>
    <w:p w14:paraId="0BBC1DBE" w14:textId="02A4C017" w:rsidR="0026684D" w:rsidRPr="009D199D" w:rsidRDefault="0026684D" w:rsidP="009D199D">
      <w:pPr>
        <w:pStyle w:val="Schedule1"/>
      </w:pPr>
      <w:r w:rsidRPr="009D199D">
        <w:t>By rule 36(2) of the Tribunal Procedure (First-tier Tribunal) (Property Chamber) Rules 2013, the tribunal is required to notify the parties about any right of appeal they may have.</w:t>
      </w:r>
    </w:p>
    <w:p w14:paraId="05176D28" w14:textId="502C8E90" w:rsidR="004E76AB" w:rsidRDefault="0026684D" w:rsidP="009D199D">
      <w:pPr>
        <w:pStyle w:val="Schedule1"/>
      </w:pPr>
      <w:r w:rsidRPr="0026684D">
        <w:t>If a party wishes to appeal this decision to the Upper Tribunal (Lands Chamber), then a written application for permission must be made to the First-tier Tribunal at the regional office which has been dealing with the case.</w:t>
      </w:r>
      <w:r w:rsidR="004E76AB">
        <w:t xml:space="preserve"> </w:t>
      </w:r>
      <w:r w:rsidR="009D199D">
        <w:rPr>
          <w:rFonts w:cs="Georgia"/>
          <w:sz w:val="23"/>
          <w:szCs w:val="23"/>
        </w:rPr>
        <w:t>Under present Covid</w:t>
      </w:r>
      <w:r w:rsidR="009D199D">
        <w:rPr>
          <w:rFonts w:cs="Georgia"/>
          <w:sz w:val="23"/>
          <w:szCs w:val="23"/>
        </w:rPr>
        <w:noBreakHyphen/>
      </w:r>
      <w:r w:rsidR="004E76AB">
        <w:rPr>
          <w:rFonts w:cs="Georgia"/>
          <w:sz w:val="23"/>
          <w:szCs w:val="23"/>
        </w:rPr>
        <w:t xml:space="preserve">19 restrictions applications must be made by email to </w:t>
      </w:r>
      <w:hyperlink r:id="rId8" w:history="1">
        <w:r w:rsidR="004E76AB" w:rsidRPr="001A65E6">
          <w:rPr>
            <w:rStyle w:val="Hyperlink"/>
          </w:rPr>
          <w:t>rplondon@justice.gov.uk</w:t>
        </w:r>
      </w:hyperlink>
      <w:r w:rsidR="004E76AB" w:rsidRPr="00BA2C6F">
        <w:t>.</w:t>
      </w:r>
    </w:p>
    <w:p w14:paraId="518A97BB" w14:textId="07FE02AB" w:rsidR="0026684D" w:rsidRPr="0026684D" w:rsidRDefault="0026684D" w:rsidP="009D199D">
      <w:pPr>
        <w:pStyle w:val="Schedule1"/>
      </w:pPr>
      <w:r w:rsidRPr="0026684D">
        <w:t>The application for permission to appeal must arrive at the regional office within 28</w:t>
      </w:r>
      <w:r w:rsidR="009D199D">
        <w:t> </w:t>
      </w:r>
      <w:r w:rsidRPr="0026684D">
        <w:t>days after the tribunal sends written reasons for the decision to the person making the application.</w:t>
      </w:r>
    </w:p>
    <w:p w14:paraId="4CEBC064" w14:textId="77777777" w:rsidR="0026684D" w:rsidRPr="0026684D" w:rsidRDefault="0026684D" w:rsidP="009D199D">
      <w:pPr>
        <w:pStyle w:val="Schedule1"/>
      </w:pPr>
      <w:r w:rsidRPr="0026684D">
        <w:t>If the application is not made within the 28-day time limit, such application must include a request for an extension of time and the reason for not complying with the 28-day time limit; the tribunal will then look at such reason(s) and decide whether to allow the application for permission to appeal to proceed, despite not being within the time limit.</w:t>
      </w:r>
    </w:p>
    <w:p w14:paraId="0B40A5E8" w14:textId="77777777" w:rsidR="0026684D" w:rsidRPr="0026684D" w:rsidRDefault="0026684D" w:rsidP="009D199D">
      <w:pPr>
        <w:pStyle w:val="Schedule1"/>
      </w:pPr>
      <w:r w:rsidRPr="0026684D">
        <w:t>The application for permission to appeal must identify the decision of the tribunal to which it relates (i.e. give the date, the property and the case number), state the grounds of appeal and state the result the party making the application is seeking.</w:t>
      </w:r>
    </w:p>
    <w:p w14:paraId="4A296622" w14:textId="02127904" w:rsidR="0026684D" w:rsidRDefault="0026684D" w:rsidP="009D199D">
      <w:pPr>
        <w:pStyle w:val="Schedule1"/>
      </w:pPr>
      <w:r w:rsidRPr="0026684D">
        <w:t>If the tribunal refuses to grant permission to appeal, a further application for permission may be made to the Upper Tribunal (Lands Chamber).</w:t>
      </w:r>
    </w:p>
    <w:p w14:paraId="19B9308C" w14:textId="3BAF0161" w:rsidR="00C51745" w:rsidRDefault="00C51745" w:rsidP="00C51745">
      <w:pPr>
        <w:pStyle w:val="Schedule1"/>
        <w:numPr>
          <w:ilvl w:val="0"/>
          <w:numId w:val="0"/>
        </w:numPr>
        <w:ind w:left="720" w:hanging="720"/>
      </w:pPr>
    </w:p>
    <w:p w14:paraId="43D4A8ED" w14:textId="58A437EE" w:rsidR="006D3807" w:rsidRDefault="006D3807" w:rsidP="00C51745">
      <w:pPr>
        <w:pStyle w:val="Schedule1"/>
        <w:numPr>
          <w:ilvl w:val="0"/>
          <w:numId w:val="0"/>
        </w:numPr>
        <w:ind w:left="720" w:hanging="720"/>
      </w:pPr>
    </w:p>
    <w:p w14:paraId="2F028D3D" w14:textId="16CFF58D" w:rsidR="006D3807" w:rsidRDefault="006D3807" w:rsidP="00C51745">
      <w:pPr>
        <w:pStyle w:val="Schedule1"/>
        <w:numPr>
          <w:ilvl w:val="0"/>
          <w:numId w:val="0"/>
        </w:numPr>
        <w:ind w:left="720" w:hanging="720"/>
      </w:pPr>
    </w:p>
    <w:p w14:paraId="430BDE8A" w14:textId="77777777" w:rsidR="006D3807" w:rsidRDefault="006D3807" w:rsidP="00C51745">
      <w:pPr>
        <w:pStyle w:val="Schedule1"/>
        <w:numPr>
          <w:ilvl w:val="0"/>
          <w:numId w:val="0"/>
        </w:numPr>
        <w:ind w:left="720" w:hanging="720"/>
      </w:pPr>
    </w:p>
    <w:p w14:paraId="6202B646" w14:textId="7074ABC5" w:rsidR="00C51745" w:rsidRDefault="00C51745" w:rsidP="00C51745">
      <w:pPr>
        <w:pStyle w:val="Schedule1"/>
        <w:numPr>
          <w:ilvl w:val="0"/>
          <w:numId w:val="0"/>
        </w:numPr>
        <w:ind w:left="720" w:hanging="720"/>
      </w:pPr>
    </w:p>
    <w:p w14:paraId="56A704D0" w14:textId="76EADF4F" w:rsidR="0026684D" w:rsidRPr="006D3807" w:rsidRDefault="006D3807" w:rsidP="001F20A1">
      <w:pPr>
        <w:jc w:val="both"/>
        <w:rPr>
          <w:rFonts w:cs="Georgia"/>
          <w:b/>
          <w:sz w:val="23"/>
          <w:szCs w:val="23"/>
        </w:rPr>
      </w:pPr>
      <w:r w:rsidRPr="006D3807">
        <w:rPr>
          <w:rFonts w:cs="Georgia"/>
          <w:b/>
          <w:sz w:val="23"/>
          <w:szCs w:val="23"/>
        </w:rPr>
        <w:t>Annex – relevant statutes</w:t>
      </w:r>
    </w:p>
    <w:p w14:paraId="393CC8A7" w14:textId="53E2E067" w:rsidR="003608BF" w:rsidRDefault="003608BF" w:rsidP="003608BF">
      <w:pPr>
        <w:ind w:left="240"/>
        <w:rPr>
          <w:rFonts w:ascii="Arial" w:hAnsi="Arial" w:cs="Arial"/>
          <w:b/>
          <w:bCs/>
        </w:rPr>
      </w:pPr>
      <w:r>
        <w:rPr>
          <w:rFonts w:ascii="Arial" w:hAnsi="Arial" w:cs="Arial"/>
          <w:b/>
          <w:bCs/>
        </w:rPr>
        <w:t>35 Application by party to lease for variation of lease</w:t>
      </w:r>
    </w:p>
    <w:p w14:paraId="6BEA929F" w14:textId="77777777" w:rsidR="003608BF" w:rsidRDefault="003608BF" w:rsidP="003608BF">
      <w:pPr>
        <w:spacing w:before="120"/>
        <w:ind w:left="240"/>
        <w:rPr>
          <w:rFonts w:ascii="Arial" w:hAnsi="Arial" w:cs="Arial"/>
        </w:rPr>
      </w:pPr>
      <w:r>
        <w:rPr>
          <w:rFonts w:ascii="Arial" w:hAnsi="Arial" w:cs="Arial"/>
        </w:rPr>
        <w:t>(1)     Any party to a long lease of a flat may make an application to [the appropriate tribunal] for an order varying the lease in such manner as is specified in the application.</w:t>
      </w:r>
    </w:p>
    <w:p w14:paraId="2107C371" w14:textId="77777777" w:rsidR="003608BF" w:rsidRDefault="003608BF" w:rsidP="003608BF">
      <w:pPr>
        <w:spacing w:before="120"/>
        <w:ind w:left="240"/>
        <w:rPr>
          <w:rFonts w:ascii="Arial" w:hAnsi="Arial" w:cs="Arial"/>
        </w:rPr>
      </w:pPr>
      <w:r>
        <w:rPr>
          <w:rFonts w:ascii="Arial" w:hAnsi="Arial" w:cs="Arial"/>
        </w:rPr>
        <w:t>(2)     The grounds on which any such application may be made are that the lease fails to make satisfactory provision with respect to one or more of the following matters, namely—</w:t>
      </w:r>
    </w:p>
    <w:p w14:paraId="41E18C42" w14:textId="77777777" w:rsidR="003608BF" w:rsidRDefault="003608BF" w:rsidP="003608BF">
      <w:pPr>
        <w:spacing w:before="120"/>
        <w:ind w:left="480"/>
        <w:rPr>
          <w:rFonts w:ascii="Arial" w:hAnsi="Arial" w:cs="Arial"/>
        </w:rPr>
      </w:pPr>
      <w:r>
        <w:rPr>
          <w:rFonts w:ascii="Arial" w:hAnsi="Arial" w:cs="Arial"/>
        </w:rPr>
        <w:t>(a)     the repair or maintenance of—</w:t>
      </w:r>
    </w:p>
    <w:p w14:paraId="04CEA163" w14:textId="77777777" w:rsidR="003608BF" w:rsidRDefault="003608BF" w:rsidP="003608BF">
      <w:pPr>
        <w:spacing w:before="120"/>
        <w:ind w:left="720"/>
        <w:rPr>
          <w:rFonts w:ascii="Arial" w:hAnsi="Arial" w:cs="Arial"/>
        </w:rPr>
      </w:pPr>
      <w:r>
        <w:rPr>
          <w:rFonts w:ascii="Arial" w:hAnsi="Arial" w:cs="Arial"/>
        </w:rPr>
        <w:t>(i)     the flat in question, or</w:t>
      </w:r>
    </w:p>
    <w:p w14:paraId="06120B8A" w14:textId="77777777" w:rsidR="003608BF" w:rsidRDefault="003608BF" w:rsidP="003608BF">
      <w:pPr>
        <w:spacing w:before="120"/>
        <w:ind w:left="720"/>
        <w:rPr>
          <w:rFonts w:ascii="Arial" w:hAnsi="Arial" w:cs="Arial"/>
        </w:rPr>
      </w:pPr>
      <w:r>
        <w:rPr>
          <w:rFonts w:ascii="Arial" w:hAnsi="Arial" w:cs="Arial"/>
        </w:rPr>
        <w:t>(ii)     the building containing the flat, or</w:t>
      </w:r>
    </w:p>
    <w:p w14:paraId="7D5165ED" w14:textId="77777777" w:rsidR="003608BF" w:rsidRDefault="003608BF" w:rsidP="003608BF">
      <w:pPr>
        <w:spacing w:before="120"/>
        <w:ind w:left="720"/>
        <w:rPr>
          <w:rFonts w:ascii="Arial" w:hAnsi="Arial" w:cs="Arial"/>
        </w:rPr>
      </w:pPr>
      <w:r>
        <w:rPr>
          <w:rFonts w:ascii="Arial" w:hAnsi="Arial" w:cs="Arial"/>
        </w:rPr>
        <w:t xml:space="preserve">(iii)     any land or building which is let to the </w:t>
      </w:r>
      <w:r>
        <w:rPr>
          <w:rFonts w:ascii="Arial" w:hAnsi="Arial" w:cs="Arial"/>
          <w:b/>
          <w:bCs/>
          <w:color w:val="CC0033"/>
        </w:rPr>
        <w:t>tenant</w:t>
      </w:r>
      <w:r>
        <w:rPr>
          <w:rFonts w:ascii="Arial" w:hAnsi="Arial" w:cs="Arial"/>
        </w:rPr>
        <w:t xml:space="preserve"> under the lease or in respect of which rights are conferred on him under it;</w:t>
      </w:r>
    </w:p>
    <w:p w14:paraId="36C0292A" w14:textId="77777777" w:rsidR="003608BF" w:rsidRDefault="003608BF" w:rsidP="003608BF">
      <w:pPr>
        <w:spacing w:before="120"/>
        <w:ind w:left="480"/>
        <w:rPr>
          <w:rFonts w:ascii="Arial" w:hAnsi="Arial" w:cs="Arial"/>
        </w:rPr>
      </w:pPr>
      <w:r>
        <w:rPr>
          <w:rFonts w:ascii="Arial" w:hAnsi="Arial" w:cs="Arial"/>
        </w:rPr>
        <w:t>[(b)     the insurance of the building containing the flat or of any such land or building as is mentioned in paragraph (a)(iii);]</w:t>
      </w:r>
    </w:p>
    <w:p w14:paraId="04F7F1AD" w14:textId="77777777" w:rsidR="003608BF" w:rsidRDefault="003608BF" w:rsidP="003608BF">
      <w:pPr>
        <w:spacing w:before="120"/>
        <w:ind w:left="480"/>
        <w:rPr>
          <w:rFonts w:ascii="Arial" w:hAnsi="Arial" w:cs="Arial"/>
        </w:rPr>
      </w:pPr>
      <w:r>
        <w:rPr>
          <w:rFonts w:ascii="Arial" w:hAnsi="Arial" w:cs="Arial"/>
        </w:rPr>
        <w:t>(c)     the repair or maintenance of any installations (whether they are in the same building as the flat or not) which are reasonably necessary to ensure that occupiers of the flat enjoy a reasonable standard of accommodation;</w:t>
      </w:r>
    </w:p>
    <w:p w14:paraId="36FF1CEA" w14:textId="77777777" w:rsidR="003608BF" w:rsidRDefault="003608BF" w:rsidP="003608BF">
      <w:pPr>
        <w:spacing w:before="120"/>
        <w:ind w:left="480"/>
        <w:rPr>
          <w:rFonts w:ascii="Arial" w:hAnsi="Arial" w:cs="Arial"/>
        </w:rPr>
      </w:pPr>
      <w:r>
        <w:rPr>
          <w:rFonts w:ascii="Arial" w:hAnsi="Arial" w:cs="Arial"/>
        </w:rPr>
        <w:t xml:space="preserve">(d)     the provision or maintenance of any services which are reasonably necessary to ensure that occupiers of the flat enjoy a reasonable standard of accommodation (whether they are services connected with any such installations or not, </w:t>
      </w:r>
      <w:r>
        <w:rPr>
          <w:rFonts w:ascii="Arial" w:hAnsi="Arial" w:cs="Arial"/>
          <w:b/>
          <w:bCs/>
          <w:color w:val="CC0033"/>
        </w:rPr>
        <w:t>and</w:t>
      </w:r>
      <w:r>
        <w:rPr>
          <w:rFonts w:ascii="Arial" w:hAnsi="Arial" w:cs="Arial"/>
        </w:rPr>
        <w:t xml:space="preserve"> whether they are services provided for the benefit of those occupiers or services provided for the benefit of the occupiers of a number of flats including that flat);</w:t>
      </w:r>
    </w:p>
    <w:p w14:paraId="74051725" w14:textId="77777777" w:rsidR="003608BF" w:rsidRDefault="003608BF" w:rsidP="003608BF">
      <w:pPr>
        <w:spacing w:before="120"/>
        <w:ind w:left="480"/>
        <w:rPr>
          <w:rFonts w:ascii="Arial" w:hAnsi="Arial" w:cs="Arial"/>
        </w:rPr>
      </w:pPr>
      <w:r>
        <w:rPr>
          <w:rFonts w:ascii="Arial" w:hAnsi="Arial" w:cs="Arial"/>
        </w:rPr>
        <w:t>(e)     the recovery by one party to the lease from another party to it of expenditure incurred or to be incurred by him, or on his behalf, for the benefit of that other party or of a number of persons who include that other party;</w:t>
      </w:r>
    </w:p>
    <w:p w14:paraId="0255D3FE" w14:textId="77777777" w:rsidR="003608BF" w:rsidRDefault="003608BF" w:rsidP="003608BF">
      <w:pPr>
        <w:spacing w:before="120"/>
        <w:ind w:left="480"/>
        <w:rPr>
          <w:rFonts w:ascii="Arial" w:hAnsi="Arial" w:cs="Arial"/>
        </w:rPr>
      </w:pPr>
      <w:r>
        <w:rPr>
          <w:rFonts w:ascii="Arial" w:hAnsi="Arial" w:cs="Arial"/>
        </w:rPr>
        <w:t>(f)     the computation of a service charge payable under the lease;</w:t>
      </w:r>
    </w:p>
    <w:p w14:paraId="31B259F7" w14:textId="77777777" w:rsidR="003608BF" w:rsidRDefault="003608BF" w:rsidP="003608BF">
      <w:pPr>
        <w:spacing w:before="120"/>
        <w:ind w:left="480"/>
        <w:rPr>
          <w:rFonts w:ascii="Arial" w:hAnsi="Arial" w:cs="Arial"/>
        </w:rPr>
      </w:pPr>
      <w:r>
        <w:rPr>
          <w:rFonts w:ascii="Arial" w:hAnsi="Arial" w:cs="Arial"/>
        </w:rPr>
        <w:t>[(g)     such other matters as may be prescribed by regulations made by the Secretary of State].</w:t>
      </w:r>
    </w:p>
    <w:p w14:paraId="22323665" w14:textId="77777777" w:rsidR="003608BF" w:rsidRDefault="003608BF" w:rsidP="003608BF">
      <w:pPr>
        <w:spacing w:before="120"/>
        <w:ind w:left="240"/>
        <w:rPr>
          <w:rFonts w:ascii="Arial" w:hAnsi="Arial" w:cs="Arial"/>
        </w:rPr>
      </w:pPr>
      <w:r>
        <w:rPr>
          <w:rFonts w:ascii="Arial" w:hAnsi="Arial" w:cs="Arial"/>
        </w:rPr>
        <w:t xml:space="preserve">(3)     For the purposes of subsection (2)(c) </w:t>
      </w:r>
      <w:r>
        <w:rPr>
          <w:rFonts w:ascii="Arial" w:hAnsi="Arial" w:cs="Arial"/>
          <w:b/>
          <w:bCs/>
          <w:color w:val="CC0033"/>
        </w:rPr>
        <w:t>and</w:t>
      </w:r>
      <w:r>
        <w:rPr>
          <w:rFonts w:ascii="Arial" w:hAnsi="Arial" w:cs="Arial"/>
        </w:rPr>
        <w:t xml:space="preserve"> (d) the factors for determining, in relation to the occupiers of a flat, what is a reasonable standard of accommodation may include—</w:t>
      </w:r>
    </w:p>
    <w:p w14:paraId="7B5D8D1D" w14:textId="77777777" w:rsidR="003608BF" w:rsidRDefault="003608BF" w:rsidP="003608BF">
      <w:pPr>
        <w:spacing w:before="120"/>
        <w:ind w:left="480"/>
        <w:rPr>
          <w:rFonts w:ascii="Arial" w:hAnsi="Arial" w:cs="Arial"/>
        </w:rPr>
      </w:pPr>
      <w:r>
        <w:rPr>
          <w:rFonts w:ascii="Arial" w:hAnsi="Arial" w:cs="Arial"/>
        </w:rPr>
        <w:t xml:space="preserve">(a)     factors relating to the safety </w:t>
      </w:r>
      <w:r>
        <w:rPr>
          <w:rFonts w:ascii="Arial" w:hAnsi="Arial" w:cs="Arial"/>
          <w:b/>
          <w:bCs/>
          <w:color w:val="CC0033"/>
        </w:rPr>
        <w:t>and</w:t>
      </w:r>
      <w:r>
        <w:rPr>
          <w:rFonts w:ascii="Arial" w:hAnsi="Arial" w:cs="Arial"/>
        </w:rPr>
        <w:t xml:space="preserve"> security of the flat </w:t>
      </w:r>
      <w:r>
        <w:rPr>
          <w:rFonts w:ascii="Arial" w:hAnsi="Arial" w:cs="Arial"/>
          <w:b/>
          <w:bCs/>
          <w:color w:val="CC0033"/>
        </w:rPr>
        <w:t>and</w:t>
      </w:r>
      <w:r>
        <w:rPr>
          <w:rFonts w:ascii="Arial" w:hAnsi="Arial" w:cs="Arial"/>
        </w:rPr>
        <w:t xml:space="preserve"> its occupiers </w:t>
      </w:r>
      <w:r>
        <w:rPr>
          <w:rFonts w:ascii="Arial" w:hAnsi="Arial" w:cs="Arial"/>
          <w:b/>
          <w:bCs/>
          <w:color w:val="CC0033"/>
        </w:rPr>
        <w:t>and</w:t>
      </w:r>
      <w:r>
        <w:rPr>
          <w:rFonts w:ascii="Arial" w:hAnsi="Arial" w:cs="Arial"/>
        </w:rPr>
        <w:t xml:space="preserve"> of any common parts of the building containing the flat; </w:t>
      </w:r>
      <w:r>
        <w:rPr>
          <w:rFonts w:ascii="Arial" w:hAnsi="Arial" w:cs="Arial"/>
          <w:b/>
          <w:bCs/>
          <w:color w:val="CC0033"/>
        </w:rPr>
        <w:t>and</w:t>
      </w:r>
    </w:p>
    <w:p w14:paraId="4EFB9C3A" w14:textId="77777777" w:rsidR="003608BF" w:rsidRDefault="003608BF" w:rsidP="003608BF">
      <w:pPr>
        <w:spacing w:before="120"/>
        <w:ind w:left="480"/>
        <w:rPr>
          <w:rFonts w:ascii="Arial" w:hAnsi="Arial" w:cs="Arial"/>
        </w:rPr>
      </w:pPr>
      <w:r>
        <w:rPr>
          <w:rFonts w:ascii="Arial" w:hAnsi="Arial" w:cs="Arial"/>
        </w:rPr>
        <w:t>(b)     other factors relating to the condition of any such common parts.</w:t>
      </w:r>
    </w:p>
    <w:p w14:paraId="25A53F4E" w14:textId="77777777" w:rsidR="003608BF" w:rsidRDefault="003608BF" w:rsidP="003608BF">
      <w:pPr>
        <w:spacing w:before="120"/>
        <w:ind w:left="240"/>
        <w:rPr>
          <w:rFonts w:ascii="Arial" w:hAnsi="Arial" w:cs="Arial"/>
        </w:rPr>
      </w:pPr>
      <w:r>
        <w:rPr>
          <w:rFonts w:ascii="Arial" w:hAnsi="Arial" w:cs="Arial"/>
        </w:rPr>
        <w:t>[(3A)     For the purposes of subsection (2)(e) the factors for determining, in relation to a service charge payable under a lease, whether the lease makes satisfactory provision include whether it makes provision for an amount to be payable (by way of interest or otherwise) in respect of a failure to pay the service charge by the due date.]</w:t>
      </w:r>
    </w:p>
    <w:p w14:paraId="4F7A4BD5" w14:textId="77777777" w:rsidR="003608BF" w:rsidRDefault="003608BF" w:rsidP="003608BF">
      <w:pPr>
        <w:spacing w:before="120"/>
        <w:ind w:left="240"/>
        <w:rPr>
          <w:rFonts w:ascii="Arial" w:hAnsi="Arial" w:cs="Arial"/>
        </w:rPr>
      </w:pPr>
      <w:r>
        <w:rPr>
          <w:rFonts w:ascii="Arial" w:hAnsi="Arial" w:cs="Arial"/>
        </w:rPr>
        <w:t>(4)     For the purposes of subsection (2)(f) a lease fails to make satisfactory provision with respect to the computation of a service charge payable under it if—</w:t>
      </w:r>
    </w:p>
    <w:p w14:paraId="21BC0292" w14:textId="77777777" w:rsidR="003608BF" w:rsidRDefault="003608BF" w:rsidP="003608BF">
      <w:pPr>
        <w:spacing w:before="120"/>
        <w:ind w:left="480"/>
        <w:rPr>
          <w:rFonts w:ascii="Arial" w:hAnsi="Arial" w:cs="Arial"/>
        </w:rPr>
      </w:pPr>
      <w:r>
        <w:rPr>
          <w:rFonts w:ascii="Arial" w:hAnsi="Arial" w:cs="Arial"/>
        </w:rPr>
        <w:lastRenderedPageBreak/>
        <w:t xml:space="preserve">(a)     it provides for any such charge to be a proportion of expenditure incurred, or to be incurred, by or on behalf of the </w:t>
      </w:r>
      <w:r>
        <w:rPr>
          <w:rFonts w:ascii="Arial" w:hAnsi="Arial" w:cs="Arial"/>
          <w:b/>
          <w:bCs/>
          <w:color w:val="CC0033"/>
        </w:rPr>
        <w:t>landlord</w:t>
      </w:r>
      <w:r>
        <w:rPr>
          <w:rFonts w:ascii="Arial" w:hAnsi="Arial" w:cs="Arial"/>
        </w:rPr>
        <w:t xml:space="preserve"> or a superior </w:t>
      </w:r>
      <w:r>
        <w:rPr>
          <w:rFonts w:ascii="Arial" w:hAnsi="Arial" w:cs="Arial"/>
          <w:b/>
          <w:bCs/>
          <w:color w:val="CC0033"/>
        </w:rPr>
        <w:t>landlord</w:t>
      </w:r>
      <w:r>
        <w:rPr>
          <w:rFonts w:ascii="Arial" w:hAnsi="Arial" w:cs="Arial"/>
        </w:rPr>
        <w:t xml:space="preserve">; </w:t>
      </w:r>
      <w:r>
        <w:rPr>
          <w:rFonts w:ascii="Arial" w:hAnsi="Arial" w:cs="Arial"/>
          <w:b/>
          <w:bCs/>
          <w:color w:val="CC0033"/>
        </w:rPr>
        <w:t>and</w:t>
      </w:r>
    </w:p>
    <w:p w14:paraId="44BB6CDC" w14:textId="77777777" w:rsidR="003608BF" w:rsidRDefault="003608BF" w:rsidP="003608BF">
      <w:pPr>
        <w:spacing w:before="120"/>
        <w:ind w:left="480"/>
        <w:rPr>
          <w:rFonts w:ascii="Arial" w:hAnsi="Arial" w:cs="Arial"/>
        </w:rPr>
      </w:pPr>
      <w:r>
        <w:rPr>
          <w:rFonts w:ascii="Arial" w:hAnsi="Arial" w:cs="Arial"/>
        </w:rPr>
        <w:t xml:space="preserve">(b)     other </w:t>
      </w:r>
      <w:r>
        <w:rPr>
          <w:rFonts w:ascii="Arial" w:hAnsi="Arial" w:cs="Arial"/>
          <w:b/>
          <w:bCs/>
          <w:color w:val="CC0033"/>
        </w:rPr>
        <w:t>tenants</w:t>
      </w:r>
      <w:r>
        <w:rPr>
          <w:rFonts w:ascii="Arial" w:hAnsi="Arial" w:cs="Arial"/>
        </w:rPr>
        <w:t xml:space="preserve"> of the </w:t>
      </w:r>
      <w:r>
        <w:rPr>
          <w:rFonts w:ascii="Arial" w:hAnsi="Arial" w:cs="Arial"/>
          <w:b/>
          <w:bCs/>
          <w:color w:val="CC0033"/>
        </w:rPr>
        <w:t>landlord</w:t>
      </w:r>
      <w:r>
        <w:rPr>
          <w:rFonts w:ascii="Arial" w:hAnsi="Arial" w:cs="Arial"/>
        </w:rPr>
        <w:t xml:space="preserve"> are also liable under their leases to pay by way of service charges proportions of any such expenditure; </w:t>
      </w:r>
      <w:r>
        <w:rPr>
          <w:rFonts w:ascii="Arial" w:hAnsi="Arial" w:cs="Arial"/>
          <w:b/>
          <w:bCs/>
          <w:color w:val="CC0033"/>
        </w:rPr>
        <w:t>and</w:t>
      </w:r>
    </w:p>
    <w:p w14:paraId="654C1B3F" w14:textId="77777777" w:rsidR="003608BF" w:rsidRDefault="003608BF" w:rsidP="003608BF">
      <w:pPr>
        <w:spacing w:before="120"/>
        <w:ind w:left="480"/>
        <w:rPr>
          <w:rFonts w:ascii="Arial" w:hAnsi="Arial" w:cs="Arial"/>
        </w:rPr>
      </w:pPr>
      <w:r>
        <w:rPr>
          <w:rFonts w:ascii="Arial" w:hAnsi="Arial" w:cs="Arial"/>
        </w:rPr>
        <w:t xml:space="preserve">(c)     the aggregate of the amounts that would, in any particular case, be payable by reference to the proportions referred to in paragraphs (a) </w:t>
      </w:r>
      <w:r>
        <w:rPr>
          <w:rFonts w:ascii="Arial" w:hAnsi="Arial" w:cs="Arial"/>
          <w:b/>
          <w:bCs/>
          <w:color w:val="CC0033"/>
        </w:rPr>
        <w:t>and</w:t>
      </w:r>
      <w:r>
        <w:rPr>
          <w:rFonts w:ascii="Arial" w:hAnsi="Arial" w:cs="Arial"/>
        </w:rPr>
        <w:t xml:space="preserve"> (b) would [either exceed or be less than] the whole of any such expenditure.</w:t>
      </w:r>
    </w:p>
    <w:p w14:paraId="33BE2C3C" w14:textId="77777777" w:rsidR="003608BF" w:rsidRDefault="003608BF" w:rsidP="003608BF">
      <w:pPr>
        <w:spacing w:before="120"/>
        <w:ind w:left="240"/>
        <w:rPr>
          <w:rFonts w:ascii="Arial" w:hAnsi="Arial" w:cs="Arial"/>
        </w:rPr>
      </w:pPr>
      <w:r>
        <w:rPr>
          <w:rFonts w:ascii="Arial" w:hAnsi="Arial" w:cs="Arial"/>
        </w:rPr>
        <w:t xml:space="preserve">(5)     [Procedure regulations under </w:t>
      </w:r>
      <w:hyperlink r:id="rId9" w:history="1">
        <w:r>
          <w:rPr>
            <w:rFonts w:ascii="Arial" w:hAnsi="Arial" w:cs="Arial"/>
            <w:color w:val="0000FF"/>
            <w:u w:val="single"/>
          </w:rPr>
          <w:t>Schedule 12</w:t>
        </w:r>
      </w:hyperlink>
      <w:r>
        <w:rPr>
          <w:rFonts w:ascii="Arial" w:hAnsi="Arial" w:cs="Arial"/>
        </w:rPr>
        <w:t xml:space="preserve"> to the Commonhold </w:t>
      </w:r>
      <w:r>
        <w:rPr>
          <w:rFonts w:ascii="Arial" w:hAnsi="Arial" w:cs="Arial"/>
          <w:b/>
          <w:bCs/>
          <w:color w:val="CC0033"/>
        </w:rPr>
        <w:t>and</w:t>
      </w:r>
      <w:r>
        <w:rPr>
          <w:rFonts w:ascii="Arial" w:hAnsi="Arial" w:cs="Arial"/>
        </w:rPr>
        <w:t xml:space="preserve"> Leasehold Reform </w:t>
      </w:r>
      <w:r>
        <w:rPr>
          <w:rFonts w:ascii="Arial" w:hAnsi="Arial" w:cs="Arial"/>
          <w:b/>
          <w:bCs/>
          <w:color w:val="CC0033"/>
        </w:rPr>
        <w:t>Act</w:t>
      </w:r>
      <w:r>
        <w:rPr>
          <w:rFonts w:ascii="Arial" w:hAnsi="Arial" w:cs="Arial"/>
        </w:rPr>
        <w:t xml:space="preserve"> 2002] [</w:t>
      </w:r>
      <w:r>
        <w:rPr>
          <w:rFonts w:ascii="Arial" w:hAnsi="Arial" w:cs="Arial"/>
          <w:b/>
          <w:bCs/>
          <w:color w:val="CC0033"/>
        </w:rPr>
        <w:t>and</w:t>
      </w:r>
      <w:r>
        <w:rPr>
          <w:rFonts w:ascii="Arial" w:hAnsi="Arial" w:cs="Arial"/>
        </w:rPr>
        <w:t xml:space="preserve"> Tribunal Procedure Rules] shall make provision—</w:t>
      </w:r>
    </w:p>
    <w:p w14:paraId="21B3C64D" w14:textId="77777777" w:rsidR="003608BF" w:rsidRDefault="003608BF" w:rsidP="003608BF">
      <w:pPr>
        <w:spacing w:before="120"/>
        <w:ind w:left="480"/>
        <w:rPr>
          <w:rFonts w:ascii="Arial" w:hAnsi="Arial" w:cs="Arial"/>
        </w:rPr>
      </w:pPr>
      <w:r>
        <w:rPr>
          <w:rFonts w:ascii="Arial" w:hAnsi="Arial" w:cs="Arial"/>
        </w:rPr>
        <w:t xml:space="preserve">(a)     for requiring notice of any application under this Part to be served by the person making the application, </w:t>
      </w:r>
      <w:r>
        <w:rPr>
          <w:rFonts w:ascii="Arial" w:hAnsi="Arial" w:cs="Arial"/>
          <w:b/>
          <w:bCs/>
          <w:color w:val="CC0033"/>
        </w:rPr>
        <w:t>and</w:t>
      </w:r>
      <w:r>
        <w:rPr>
          <w:rFonts w:ascii="Arial" w:hAnsi="Arial" w:cs="Arial"/>
        </w:rPr>
        <w:t xml:space="preserve"> by any respondent to the application, on any person who the applicant, or (as the case may be) the respondent, knows or has reason to believe is likely to be affected by any variation specified in the application, </w:t>
      </w:r>
      <w:r>
        <w:rPr>
          <w:rFonts w:ascii="Arial" w:hAnsi="Arial" w:cs="Arial"/>
          <w:b/>
          <w:bCs/>
          <w:color w:val="CC0033"/>
        </w:rPr>
        <w:t>and</w:t>
      </w:r>
    </w:p>
    <w:p w14:paraId="08CB3CE9" w14:textId="77777777" w:rsidR="003608BF" w:rsidRDefault="003608BF" w:rsidP="003608BF">
      <w:pPr>
        <w:spacing w:before="120"/>
        <w:ind w:left="480"/>
        <w:rPr>
          <w:rFonts w:ascii="Arial" w:hAnsi="Arial" w:cs="Arial"/>
        </w:rPr>
      </w:pPr>
      <w:r>
        <w:rPr>
          <w:rFonts w:ascii="Arial" w:hAnsi="Arial" w:cs="Arial"/>
        </w:rPr>
        <w:t>(b)     for enabling persons served with any such notice to be joined as parties to the proceedings.</w:t>
      </w:r>
    </w:p>
    <w:p w14:paraId="77EC6E50" w14:textId="77777777" w:rsidR="003608BF" w:rsidRDefault="003608BF" w:rsidP="003608BF">
      <w:pPr>
        <w:spacing w:before="120"/>
        <w:ind w:left="240"/>
        <w:rPr>
          <w:rFonts w:ascii="Arial" w:hAnsi="Arial" w:cs="Arial"/>
        </w:rPr>
      </w:pPr>
      <w:r>
        <w:rPr>
          <w:rFonts w:ascii="Arial" w:hAnsi="Arial" w:cs="Arial"/>
        </w:rPr>
        <w:t>[(6)     For the purposes of this Part a long lease shall not be regarded as a long lease of a flat if—</w:t>
      </w:r>
    </w:p>
    <w:p w14:paraId="4450F1B1" w14:textId="77777777" w:rsidR="003608BF" w:rsidRDefault="003608BF" w:rsidP="003608BF">
      <w:pPr>
        <w:spacing w:before="120"/>
        <w:ind w:left="480"/>
        <w:rPr>
          <w:rFonts w:ascii="Arial" w:hAnsi="Arial" w:cs="Arial"/>
        </w:rPr>
      </w:pPr>
      <w:r>
        <w:rPr>
          <w:rFonts w:ascii="Arial" w:hAnsi="Arial" w:cs="Arial"/>
        </w:rPr>
        <w:t>(a)     the demised premises consist of or include three or more flats contained in the same building; or</w:t>
      </w:r>
    </w:p>
    <w:p w14:paraId="7054EC3D" w14:textId="77777777" w:rsidR="003608BF" w:rsidRDefault="003608BF" w:rsidP="003608BF">
      <w:pPr>
        <w:spacing w:before="120"/>
        <w:ind w:left="480"/>
        <w:rPr>
          <w:rFonts w:ascii="Arial" w:hAnsi="Arial" w:cs="Arial"/>
        </w:rPr>
      </w:pPr>
      <w:r>
        <w:rPr>
          <w:rFonts w:ascii="Arial" w:hAnsi="Arial" w:cs="Arial"/>
        </w:rPr>
        <w:t xml:space="preserve">(b)     the lease constitutes a tenancy to which </w:t>
      </w:r>
      <w:hyperlink r:id="rId10" w:history="1">
        <w:r>
          <w:rPr>
            <w:rFonts w:ascii="Arial" w:hAnsi="Arial" w:cs="Arial"/>
            <w:color w:val="0000FF"/>
            <w:u w:val="single"/>
          </w:rPr>
          <w:t>Part II</w:t>
        </w:r>
      </w:hyperlink>
      <w:r>
        <w:rPr>
          <w:rFonts w:ascii="Arial" w:hAnsi="Arial" w:cs="Arial"/>
        </w:rPr>
        <w:t xml:space="preserve"> of the </w:t>
      </w:r>
      <w:r>
        <w:rPr>
          <w:rFonts w:ascii="Arial" w:hAnsi="Arial" w:cs="Arial"/>
          <w:b/>
          <w:bCs/>
          <w:color w:val="CC0033"/>
        </w:rPr>
        <w:t>Landlord</w:t>
      </w:r>
      <w:r>
        <w:rPr>
          <w:rFonts w:ascii="Arial" w:hAnsi="Arial" w:cs="Arial"/>
        </w:rPr>
        <w:t xml:space="preserve"> </w:t>
      </w:r>
      <w:r>
        <w:rPr>
          <w:rFonts w:ascii="Arial" w:hAnsi="Arial" w:cs="Arial"/>
          <w:b/>
          <w:bCs/>
          <w:color w:val="CC0033"/>
        </w:rPr>
        <w:t>and</w:t>
      </w:r>
      <w:r>
        <w:rPr>
          <w:rFonts w:ascii="Arial" w:hAnsi="Arial" w:cs="Arial"/>
        </w:rPr>
        <w:t xml:space="preserve"> </w:t>
      </w:r>
      <w:r>
        <w:rPr>
          <w:rFonts w:ascii="Arial" w:hAnsi="Arial" w:cs="Arial"/>
          <w:b/>
          <w:bCs/>
          <w:color w:val="CC0033"/>
        </w:rPr>
        <w:t>Tenant</w:t>
      </w:r>
      <w:r>
        <w:rPr>
          <w:rFonts w:ascii="Arial" w:hAnsi="Arial" w:cs="Arial"/>
        </w:rPr>
        <w:t xml:space="preserve"> </w:t>
      </w:r>
      <w:r>
        <w:rPr>
          <w:rFonts w:ascii="Arial" w:hAnsi="Arial" w:cs="Arial"/>
          <w:b/>
          <w:bCs/>
          <w:color w:val="CC0033"/>
        </w:rPr>
        <w:t>Act</w:t>
      </w:r>
      <w:r>
        <w:rPr>
          <w:rFonts w:ascii="Arial" w:hAnsi="Arial" w:cs="Arial"/>
        </w:rPr>
        <w:t xml:space="preserve"> 1954 applies.]</w:t>
      </w:r>
    </w:p>
    <w:p w14:paraId="04F7D14E" w14:textId="77777777" w:rsidR="003608BF" w:rsidRDefault="003608BF" w:rsidP="003608BF">
      <w:pPr>
        <w:spacing w:before="120"/>
        <w:ind w:left="240"/>
        <w:rPr>
          <w:rFonts w:ascii="Arial" w:hAnsi="Arial" w:cs="Arial"/>
        </w:rPr>
      </w:pPr>
      <w:r>
        <w:rPr>
          <w:rFonts w:ascii="Arial" w:hAnsi="Arial" w:cs="Arial"/>
        </w:rPr>
        <w:t xml:space="preserve">(8)     In this section “service charge” has the meaning given by section 18(1) of the 1985 </w:t>
      </w:r>
      <w:r>
        <w:rPr>
          <w:rFonts w:ascii="Arial" w:hAnsi="Arial" w:cs="Arial"/>
          <w:b/>
          <w:bCs/>
          <w:color w:val="CC0033"/>
        </w:rPr>
        <w:t>Act</w:t>
      </w:r>
      <w:r>
        <w:rPr>
          <w:rFonts w:ascii="Arial" w:hAnsi="Arial" w:cs="Arial"/>
        </w:rPr>
        <w:t>.</w:t>
      </w:r>
    </w:p>
    <w:p w14:paraId="32255B9A" w14:textId="77777777" w:rsidR="003608BF" w:rsidRDefault="003608BF" w:rsidP="003608BF">
      <w:pPr>
        <w:spacing w:before="120"/>
        <w:ind w:left="240"/>
        <w:rPr>
          <w:rFonts w:ascii="Arial" w:hAnsi="Arial" w:cs="Arial"/>
        </w:rPr>
      </w:pPr>
      <w:r>
        <w:rPr>
          <w:rFonts w:ascii="Arial" w:hAnsi="Arial" w:cs="Arial"/>
        </w:rPr>
        <w:t xml:space="preserve">[(9)     For the purposes of this section </w:t>
      </w:r>
      <w:r>
        <w:rPr>
          <w:rFonts w:ascii="Arial" w:hAnsi="Arial" w:cs="Arial"/>
          <w:b/>
          <w:bCs/>
          <w:color w:val="CC0033"/>
        </w:rPr>
        <w:t>and</w:t>
      </w:r>
      <w:r>
        <w:rPr>
          <w:rFonts w:ascii="Arial" w:hAnsi="Arial" w:cs="Arial"/>
        </w:rPr>
        <w:t xml:space="preserve"> sections 36 to 39, “appropriate tribunal” means—</w:t>
      </w:r>
    </w:p>
    <w:p w14:paraId="5E37FA9C" w14:textId="77777777" w:rsidR="003608BF" w:rsidRDefault="003608BF" w:rsidP="003608BF">
      <w:pPr>
        <w:spacing w:before="120"/>
        <w:ind w:left="480"/>
        <w:rPr>
          <w:rFonts w:ascii="Arial" w:hAnsi="Arial" w:cs="Arial"/>
        </w:rPr>
      </w:pPr>
      <w:r>
        <w:rPr>
          <w:rFonts w:ascii="Arial" w:hAnsi="Arial" w:cs="Arial"/>
        </w:rPr>
        <w:t xml:space="preserve">(a)     if one or more of the long leases concerned relates to property in England, the First-tier Tribunal or, where determined by or under Tribunal Procedure Rules, the Upper Tribunal; </w:t>
      </w:r>
      <w:r>
        <w:rPr>
          <w:rFonts w:ascii="Arial" w:hAnsi="Arial" w:cs="Arial"/>
          <w:b/>
          <w:bCs/>
          <w:color w:val="CC0033"/>
        </w:rPr>
        <w:t>and</w:t>
      </w:r>
    </w:p>
    <w:p w14:paraId="24962072" w14:textId="77777777" w:rsidR="003608BF" w:rsidRDefault="003608BF" w:rsidP="003608BF">
      <w:pPr>
        <w:spacing w:before="120"/>
        <w:ind w:left="480"/>
        <w:rPr>
          <w:rFonts w:ascii="Arial" w:hAnsi="Arial" w:cs="Arial"/>
        </w:rPr>
      </w:pPr>
      <w:r>
        <w:rPr>
          <w:rFonts w:ascii="Arial" w:hAnsi="Arial" w:cs="Arial"/>
        </w:rPr>
        <w:t>(b)     if one or more of the long leases concerned relates to property in Wales, a leasehold valuation tribunal.]</w:t>
      </w:r>
    </w:p>
    <w:p w14:paraId="2E676CDD" w14:textId="77777777" w:rsidR="003608BF" w:rsidRDefault="003608BF" w:rsidP="003608BF">
      <w:pPr>
        <w:rPr>
          <w:rFonts w:ascii="Arial" w:hAnsi="Arial" w:cs="Arial"/>
        </w:rPr>
      </w:pPr>
    </w:p>
    <w:p w14:paraId="56ABAC09" w14:textId="77777777" w:rsidR="003608BF" w:rsidRDefault="003608BF" w:rsidP="003608BF">
      <w:pPr>
        <w:ind w:left="240"/>
        <w:rPr>
          <w:rFonts w:ascii="Arial" w:hAnsi="Arial" w:cs="Arial"/>
          <w:b/>
          <w:bCs/>
        </w:rPr>
      </w:pPr>
      <w:r>
        <w:rPr>
          <w:rFonts w:ascii="Arial" w:hAnsi="Arial" w:cs="Arial"/>
          <w:b/>
          <w:bCs/>
        </w:rPr>
        <w:t>36 Application by respondent for variation of other leases</w:t>
      </w:r>
    </w:p>
    <w:p w14:paraId="12F3B1BC" w14:textId="77777777" w:rsidR="003608BF" w:rsidRDefault="003608BF" w:rsidP="003608BF">
      <w:pPr>
        <w:spacing w:before="120"/>
        <w:ind w:left="240"/>
        <w:rPr>
          <w:rFonts w:ascii="Arial" w:hAnsi="Arial" w:cs="Arial"/>
        </w:rPr>
      </w:pPr>
      <w:r>
        <w:rPr>
          <w:rFonts w:ascii="Arial" w:hAnsi="Arial" w:cs="Arial"/>
        </w:rPr>
        <w:t>(1)     Where an application (“the original application”) is made under section 35 by any party to a lease, any other party to the lease may make an application to the [tribunal] asking it, in the event of its deciding to make an order effecting any variation of the lease in pursuance of the original application, to make an order which effects a corresponding variation of each of such one or more other leases as are specified in the application.</w:t>
      </w:r>
    </w:p>
    <w:p w14:paraId="29F63252" w14:textId="77777777" w:rsidR="003608BF" w:rsidRDefault="003608BF" w:rsidP="003608BF">
      <w:pPr>
        <w:spacing w:before="120"/>
        <w:ind w:left="240"/>
        <w:rPr>
          <w:rFonts w:ascii="Arial" w:hAnsi="Arial" w:cs="Arial"/>
        </w:rPr>
      </w:pPr>
      <w:r>
        <w:rPr>
          <w:rFonts w:ascii="Arial" w:hAnsi="Arial" w:cs="Arial"/>
        </w:rPr>
        <w:t>(2)     Any lease so specified—</w:t>
      </w:r>
    </w:p>
    <w:p w14:paraId="64F53008" w14:textId="77777777" w:rsidR="003608BF" w:rsidRDefault="003608BF" w:rsidP="003608BF">
      <w:pPr>
        <w:spacing w:before="120"/>
        <w:ind w:left="480"/>
        <w:rPr>
          <w:rFonts w:ascii="Arial" w:hAnsi="Arial" w:cs="Arial"/>
        </w:rPr>
      </w:pPr>
      <w:r>
        <w:rPr>
          <w:rFonts w:ascii="Arial" w:hAnsi="Arial" w:cs="Arial"/>
        </w:rPr>
        <w:t>(a)     must be a long lease of a flat under which the landlord is the same person as the landlord under the lease specified in the original application; but</w:t>
      </w:r>
    </w:p>
    <w:p w14:paraId="2D407E3F" w14:textId="77777777" w:rsidR="003608BF" w:rsidRDefault="003608BF" w:rsidP="003608BF">
      <w:pPr>
        <w:spacing w:before="120"/>
        <w:ind w:left="480"/>
        <w:rPr>
          <w:rFonts w:ascii="Arial" w:hAnsi="Arial" w:cs="Arial"/>
        </w:rPr>
      </w:pPr>
      <w:r>
        <w:rPr>
          <w:rFonts w:ascii="Arial" w:hAnsi="Arial" w:cs="Arial"/>
        </w:rPr>
        <w:t>(b)     need not be a lease of a flat which is in the same building as the flat let under that lease, nor a lease drafted in terms identical to those of that lease.</w:t>
      </w:r>
    </w:p>
    <w:p w14:paraId="1E37FA79" w14:textId="77777777" w:rsidR="003608BF" w:rsidRDefault="003608BF" w:rsidP="003608BF">
      <w:pPr>
        <w:spacing w:before="120"/>
        <w:ind w:left="240"/>
        <w:rPr>
          <w:rFonts w:ascii="Arial" w:hAnsi="Arial" w:cs="Arial"/>
        </w:rPr>
      </w:pPr>
      <w:r>
        <w:rPr>
          <w:rFonts w:ascii="Arial" w:hAnsi="Arial" w:cs="Arial"/>
        </w:rPr>
        <w:lastRenderedPageBreak/>
        <w:t>(3)     The grounds on which an application may be made under this section are—</w:t>
      </w:r>
    </w:p>
    <w:p w14:paraId="6490C7A6" w14:textId="77777777" w:rsidR="003608BF" w:rsidRDefault="003608BF" w:rsidP="003608BF">
      <w:pPr>
        <w:spacing w:before="120"/>
        <w:ind w:left="480"/>
        <w:rPr>
          <w:rFonts w:ascii="Arial" w:hAnsi="Arial" w:cs="Arial"/>
        </w:rPr>
      </w:pPr>
      <w:r>
        <w:rPr>
          <w:rFonts w:ascii="Arial" w:hAnsi="Arial" w:cs="Arial"/>
        </w:rPr>
        <w:t>(a)     that each of the leases specified in the application fails to make satisfactory provision with respect to the matter or matters specified in the original application; and</w:t>
      </w:r>
    </w:p>
    <w:p w14:paraId="21482763" w14:textId="77777777" w:rsidR="003608BF" w:rsidRDefault="003608BF" w:rsidP="003608BF">
      <w:pPr>
        <w:spacing w:before="120"/>
        <w:ind w:left="480"/>
        <w:rPr>
          <w:rFonts w:ascii="Arial" w:hAnsi="Arial" w:cs="Arial"/>
        </w:rPr>
      </w:pPr>
      <w:r>
        <w:rPr>
          <w:rFonts w:ascii="Arial" w:hAnsi="Arial" w:cs="Arial"/>
        </w:rPr>
        <w:t>(b)     that, if any variation is effected in pursuance of the original application, it would be in the interests of the person making the application under this section, or in the interests of the other persons who are parties to the leases specified in that application, to have all of the leases in question (that is to say, the ones specified in that application together with the one specified in the original application) varied to the same effect.</w:t>
      </w:r>
    </w:p>
    <w:p w14:paraId="47EEB0F6" w14:textId="2440ACEC" w:rsidR="003608BF" w:rsidRDefault="003608BF" w:rsidP="001F20A1">
      <w:pPr>
        <w:jc w:val="both"/>
        <w:rPr>
          <w:rFonts w:cs="Georgia"/>
          <w:sz w:val="23"/>
          <w:szCs w:val="23"/>
        </w:rPr>
      </w:pPr>
    </w:p>
    <w:p w14:paraId="6036935A" w14:textId="57C29337" w:rsidR="003608BF" w:rsidRDefault="003608BF" w:rsidP="001F20A1">
      <w:pPr>
        <w:jc w:val="both"/>
        <w:rPr>
          <w:rFonts w:cs="Georgia"/>
          <w:sz w:val="23"/>
          <w:szCs w:val="23"/>
        </w:rPr>
      </w:pPr>
    </w:p>
    <w:p w14:paraId="5E969705" w14:textId="36D7F4DC" w:rsidR="003608BF" w:rsidRDefault="003608BF" w:rsidP="001F20A1">
      <w:pPr>
        <w:jc w:val="both"/>
        <w:rPr>
          <w:rFonts w:cs="Georgia"/>
          <w:sz w:val="23"/>
          <w:szCs w:val="23"/>
        </w:rPr>
      </w:pPr>
    </w:p>
    <w:p w14:paraId="15D95CD0" w14:textId="44D1D664" w:rsidR="003608BF" w:rsidRDefault="003608BF" w:rsidP="001F20A1">
      <w:pPr>
        <w:jc w:val="both"/>
        <w:rPr>
          <w:rFonts w:cs="Georgia"/>
          <w:sz w:val="23"/>
          <w:szCs w:val="23"/>
        </w:rPr>
      </w:pPr>
    </w:p>
    <w:p w14:paraId="411AA553" w14:textId="77777777" w:rsidR="003608BF" w:rsidRDefault="003608BF" w:rsidP="001F20A1">
      <w:pPr>
        <w:jc w:val="both"/>
        <w:rPr>
          <w:rFonts w:cs="Georgia"/>
          <w:sz w:val="23"/>
          <w:szCs w:val="23"/>
        </w:rPr>
      </w:pPr>
    </w:p>
    <w:sectPr w:rsidR="003608BF" w:rsidSect="007B3900">
      <w:footerReference w:type="default" r:id="rId11"/>
      <w:pgSz w:w="11906" w:h="16838"/>
      <w:pgMar w:top="1038" w:right="1191" w:bottom="301" w:left="119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1B1C1" w14:textId="77777777" w:rsidR="007B3900" w:rsidRDefault="007B3900">
      <w:r>
        <w:separator/>
      </w:r>
    </w:p>
  </w:endnote>
  <w:endnote w:type="continuationSeparator" w:id="0">
    <w:p w14:paraId="7A14A3B8" w14:textId="77777777" w:rsidR="007B3900" w:rsidRDefault="007B3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6A730" w14:textId="75A52BAC" w:rsidR="00DE17CD" w:rsidRPr="000D55AD" w:rsidRDefault="00DE17CD">
    <w:pPr>
      <w:pStyle w:val="Footer"/>
      <w:jc w:val="center"/>
      <w:rPr>
        <w:rStyle w:val="PageNumber"/>
        <w:rFonts w:ascii="Times New Roman" w:hAnsi="Times New Roman"/>
      </w:rPr>
    </w:pPr>
    <w:r w:rsidRPr="000D55AD">
      <w:rPr>
        <w:rStyle w:val="PageNumber"/>
        <w:rFonts w:ascii="Times New Roman" w:hAnsi="Times New Roman"/>
      </w:rPr>
      <w:fldChar w:fldCharType="begin"/>
    </w:r>
    <w:r w:rsidRPr="000D55AD">
      <w:rPr>
        <w:rStyle w:val="PageNumber"/>
        <w:rFonts w:ascii="Times New Roman" w:hAnsi="Times New Roman"/>
      </w:rPr>
      <w:instrText>PAGE</w:instrText>
    </w:r>
    <w:r w:rsidRPr="000D55AD">
      <w:rPr>
        <w:rStyle w:val="PageNumber"/>
        <w:rFonts w:ascii="Times New Roman" w:hAnsi="Times New Roman"/>
      </w:rPr>
      <w:fldChar w:fldCharType="separate"/>
    </w:r>
    <w:r w:rsidR="00CB569F">
      <w:rPr>
        <w:rStyle w:val="PageNumber"/>
        <w:rFonts w:ascii="Times New Roman" w:hAnsi="Times New Roman"/>
        <w:noProof/>
      </w:rPr>
      <w:t>13</w:t>
    </w:r>
    <w:r w:rsidRPr="000D55AD">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FC040" w14:textId="77777777" w:rsidR="007B3900" w:rsidRDefault="007B3900">
      <w:r>
        <w:separator/>
      </w:r>
    </w:p>
  </w:footnote>
  <w:footnote w:type="continuationSeparator" w:id="0">
    <w:p w14:paraId="79588C93" w14:textId="77777777" w:rsidR="007B3900" w:rsidRDefault="007B3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9FB"/>
    <w:multiLevelType w:val="multilevel"/>
    <w:tmpl w:val="D80A99C0"/>
    <w:lvl w:ilvl="0">
      <w:start w:val="1"/>
      <w:numFmt w:val="lowerLetter"/>
      <w:pStyle w:val="Heading8"/>
      <w:lvlText w:val="%1."/>
      <w:lvlJc w:val="left"/>
      <w:pPr>
        <w:tabs>
          <w:tab w:val="num" w:pos="3856"/>
        </w:tabs>
        <w:ind w:left="4593" w:hanging="737"/>
      </w:pPr>
      <w:rPr>
        <w:rFonts w:hint="default"/>
      </w:rPr>
    </w:lvl>
    <w:lvl w:ilvl="1">
      <w:start w:val="1"/>
      <w:numFmt w:val="lowerRoman"/>
      <w:pStyle w:val="Heading9"/>
      <w:lvlText w:val="%2."/>
      <w:lvlJc w:val="left"/>
      <w:pPr>
        <w:ind w:left="5330" w:hanging="737"/>
      </w:pPr>
      <w:rPr>
        <w:rFonts w:hint="default"/>
        <w:b w:val="0"/>
        <w:i w:val="0"/>
      </w:rPr>
    </w:lvl>
    <w:lvl w:ilvl="2">
      <w:start w:val="1"/>
      <w:numFmt w:val="none"/>
      <w:lvlRestart w:val="0"/>
      <w:suff w:val="nothing"/>
      <w:lvlText w:val="[Error:Invalid level] "/>
      <w:lvlJc w:val="left"/>
      <w:pPr>
        <w:ind w:left="0" w:firstLine="0"/>
      </w:pPr>
      <w:rPr>
        <w:rFonts w:hint="default"/>
        <w:b w:val="0"/>
        <w:i w:val="0"/>
        <w:color w:val="FF0000"/>
      </w:rPr>
    </w:lvl>
    <w:lvl w:ilvl="3">
      <w:start w:val="1"/>
      <w:numFmt w:val="none"/>
      <w:lvlRestart w:val="0"/>
      <w:suff w:val="nothing"/>
      <w:lvlText w:val="[Error:Invalid level] "/>
      <w:lvlJc w:val="left"/>
      <w:pPr>
        <w:ind w:left="0" w:firstLine="0"/>
      </w:pPr>
      <w:rPr>
        <w:rFonts w:hint="default"/>
        <w:color w:val="FF0000"/>
      </w:rPr>
    </w:lvl>
    <w:lvl w:ilvl="4">
      <w:start w:val="1"/>
      <w:numFmt w:val="none"/>
      <w:lvlRestart w:val="0"/>
      <w:suff w:val="nothing"/>
      <w:lvlText w:val="[Error:Invalid level] "/>
      <w:lvlJc w:val="left"/>
      <w:pPr>
        <w:ind w:left="0" w:firstLine="0"/>
      </w:pPr>
      <w:rPr>
        <w:rFonts w:hint="default"/>
        <w:color w:val="FF0000"/>
      </w:rPr>
    </w:lvl>
    <w:lvl w:ilvl="5">
      <w:start w:val="1"/>
      <w:numFmt w:val="none"/>
      <w:lvlRestart w:val="0"/>
      <w:suff w:val="nothing"/>
      <w:lvlText w:val="[Error:Invalid level] "/>
      <w:lvlJc w:val="left"/>
      <w:pPr>
        <w:ind w:left="0" w:firstLine="0"/>
      </w:pPr>
      <w:rPr>
        <w:rFonts w:hint="default"/>
        <w:color w:val="FF0000"/>
      </w:rPr>
    </w:lvl>
    <w:lvl w:ilvl="6">
      <w:start w:val="1"/>
      <w:numFmt w:val="none"/>
      <w:lvlRestart w:val="0"/>
      <w:suff w:val="nothing"/>
      <w:lvlText w:val="[Error:Invalid level] "/>
      <w:lvlJc w:val="left"/>
      <w:pPr>
        <w:ind w:left="0" w:firstLine="0"/>
      </w:pPr>
      <w:rPr>
        <w:rFonts w:hint="default"/>
        <w:color w:val="FF0000"/>
      </w:rPr>
    </w:lvl>
    <w:lvl w:ilvl="7">
      <w:start w:val="1"/>
      <w:numFmt w:val="none"/>
      <w:lvlRestart w:val="0"/>
      <w:suff w:val="nothing"/>
      <w:lvlText w:val="[Error:Invalid level] "/>
      <w:lvlJc w:val="left"/>
      <w:pPr>
        <w:ind w:left="0" w:firstLine="0"/>
      </w:pPr>
      <w:rPr>
        <w:rFonts w:hint="default"/>
        <w:color w:val="FF0000"/>
      </w:rPr>
    </w:lvl>
    <w:lvl w:ilvl="8">
      <w:start w:val="1"/>
      <w:numFmt w:val="none"/>
      <w:lvlRestart w:val="0"/>
      <w:suff w:val="nothing"/>
      <w:lvlText w:val="[Error:Invalid level] "/>
      <w:lvlJc w:val="left"/>
      <w:pPr>
        <w:ind w:left="0" w:firstLine="0"/>
      </w:pPr>
      <w:rPr>
        <w:rFonts w:hint="default"/>
        <w:color w:val="FF0000"/>
      </w:rPr>
    </w:lvl>
  </w:abstractNum>
  <w:abstractNum w:abstractNumId="1" w15:restartNumberingAfterBreak="0">
    <w:nsid w:val="02772BF8"/>
    <w:multiLevelType w:val="multilevel"/>
    <w:tmpl w:val="A5761A18"/>
    <w:lvl w:ilvl="0">
      <w:start w:val="1"/>
      <w:numFmt w:val="decimal"/>
      <w:lvlText w:val="%1)"/>
      <w:lvlJc w:val="left"/>
      <w:pPr>
        <w:tabs>
          <w:tab w:val="num" w:pos="0"/>
        </w:tabs>
        <w:ind w:left="1211"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684DE3"/>
    <w:multiLevelType w:val="hybridMultilevel"/>
    <w:tmpl w:val="9F9496BC"/>
    <w:lvl w:ilvl="0" w:tplc="807C7B90">
      <w:start w:val="1"/>
      <w:numFmt w:val="bullet"/>
      <w:lvlText w:val="•"/>
      <w:lvlJc w:val="left"/>
      <w:pPr>
        <w:ind w:left="1080" w:hanging="360"/>
      </w:pPr>
      <w:rPr>
        <w:rFonts w:ascii="Verdana" w:hAnsi="Verdana" w:cs="Verdana" w:hint="default"/>
        <w:b w:val="0"/>
        <w:bCs w:val="0"/>
        <w:i w:val="0"/>
        <w:iCs w:val="0"/>
        <w:color w:val="40404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4E35F9"/>
    <w:multiLevelType w:val="hybridMultilevel"/>
    <w:tmpl w:val="A8601884"/>
    <w:lvl w:ilvl="0" w:tplc="2A84714C">
      <w:start w:val="1"/>
      <w:numFmt w:val="bullet"/>
      <w:lvlText w:val=""/>
      <w:lvlJc w:val="left"/>
      <w:pPr>
        <w:ind w:left="243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F6361"/>
    <w:multiLevelType w:val="multilevel"/>
    <w:tmpl w:val="A5761A18"/>
    <w:lvl w:ilvl="0">
      <w:start w:val="1"/>
      <w:numFmt w:val="decimal"/>
      <w:lvlText w:val="%1)"/>
      <w:lvlJc w:val="left"/>
      <w:pPr>
        <w:tabs>
          <w:tab w:val="num" w:pos="0"/>
        </w:tabs>
        <w:ind w:left="1211"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62C4316"/>
    <w:multiLevelType w:val="multilevel"/>
    <w:tmpl w:val="854EA0FA"/>
    <w:lvl w:ilvl="0">
      <w:start w:val="1"/>
      <w:numFmt w:val="decimal"/>
      <w:lvlText w:val="%1"/>
      <w:lvlJc w:val="left"/>
      <w:pPr>
        <w:tabs>
          <w:tab w:val="num" w:pos="283"/>
        </w:tabs>
        <w:ind w:left="1494" w:hanging="360"/>
      </w:pPr>
      <w:rPr>
        <w:rFonts w:ascii="Georgia" w:hAnsi="Georgia" w:cs="Georgia"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6C5177E"/>
    <w:multiLevelType w:val="multilevel"/>
    <w:tmpl w:val="CA32858C"/>
    <w:lvl w:ilvl="0">
      <w:start w:val="2"/>
      <w:numFmt w:val="lowerLetter"/>
      <w:lvlText w:val="(%1)"/>
      <w:lvlJc w:val="left"/>
      <w:pPr>
        <w:tabs>
          <w:tab w:val="left" w:pos="792"/>
        </w:tabs>
      </w:pPr>
      <w:rPr>
        <w:rFonts w:ascii="Georgia" w:eastAsia="Georgia" w:hAnsi="Georgia"/>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D72C0E"/>
    <w:multiLevelType w:val="multilevel"/>
    <w:tmpl w:val="C388DF4E"/>
    <w:lvl w:ilvl="0">
      <w:start w:val="1"/>
      <w:numFmt w:val="decimal"/>
      <w:lvlText w:val="%1."/>
      <w:lvlJc w:val="left"/>
      <w:pPr>
        <w:tabs>
          <w:tab w:val="left" w:pos="720"/>
        </w:tabs>
      </w:pPr>
      <w:rPr>
        <w:rFonts w:ascii="Georgia" w:eastAsia="Georgia" w:hAnsi="Georgia"/>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877E93"/>
    <w:multiLevelType w:val="hybridMultilevel"/>
    <w:tmpl w:val="59E64596"/>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 w15:restartNumberingAfterBreak="0">
    <w:nsid w:val="34764B05"/>
    <w:multiLevelType w:val="hybridMultilevel"/>
    <w:tmpl w:val="33E2F664"/>
    <w:lvl w:ilvl="0" w:tplc="7F0697DA">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15:restartNumberingAfterBreak="0">
    <w:nsid w:val="36495933"/>
    <w:multiLevelType w:val="multilevel"/>
    <w:tmpl w:val="6A5CA4D2"/>
    <w:lvl w:ilvl="0">
      <w:start w:val="26"/>
      <w:numFmt w:val="decimal"/>
      <w:lvlText w:val="%1."/>
      <w:lvlJc w:val="left"/>
      <w:pPr>
        <w:tabs>
          <w:tab w:val="left" w:pos="720"/>
        </w:tabs>
      </w:pPr>
      <w:rPr>
        <w:rFonts w:ascii="Times New Roman" w:eastAsia="Times New Roman" w:hAnsi="Times New Roman"/>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650F5F"/>
    <w:multiLevelType w:val="hybridMultilevel"/>
    <w:tmpl w:val="A0405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1A5D3C"/>
    <w:multiLevelType w:val="multilevel"/>
    <w:tmpl w:val="558A18DC"/>
    <w:lvl w:ilvl="0">
      <w:start w:val="1"/>
      <w:numFmt w:val="none"/>
      <w:pStyle w:val="Heading0"/>
      <w:lvlText w:val=""/>
      <w:lvlJc w:val="left"/>
      <w:pPr>
        <w:ind w:left="907" w:hanging="907"/>
      </w:pPr>
      <w:rPr>
        <w:rFonts w:hint="default"/>
      </w:rPr>
    </w:lvl>
    <w:lvl w:ilvl="1">
      <w:start w:val="1"/>
      <w:numFmt w:val="decimal"/>
      <w:pStyle w:val="Heading1"/>
      <w:lvlText w:val="%2."/>
      <w:lvlJc w:val="left"/>
      <w:pPr>
        <w:tabs>
          <w:tab w:val="num" w:pos="720"/>
        </w:tabs>
        <w:ind w:left="720" w:hanging="720"/>
      </w:pPr>
      <w:rPr>
        <w:rFonts w:hint="default"/>
        <w:b w:val="0"/>
        <w:i w:val="0"/>
      </w:rPr>
    </w:lvl>
    <w:lvl w:ilvl="2">
      <w:start w:val="1"/>
      <w:numFmt w:val="lowerLetter"/>
      <w:pStyle w:val="Heading2"/>
      <w:lvlText w:val="(%3)"/>
      <w:lvlJc w:val="left"/>
      <w:pPr>
        <w:tabs>
          <w:tab w:val="num" w:pos="1457"/>
        </w:tabs>
        <w:ind w:left="1457" w:hanging="737"/>
      </w:pPr>
      <w:rPr>
        <w:rFonts w:hint="default"/>
        <w:b w:val="0"/>
        <w:i w:val="0"/>
      </w:rPr>
    </w:lvl>
    <w:lvl w:ilvl="3">
      <w:start w:val="1"/>
      <w:numFmt w:val="decimal"/>
      <w:pStyle w:val="Heading3"/>
      <w:lvlText w:val="%2.%3.%4"/>
      <w:lvlJc w:val="left"/>
      <w:pPr>
        <w:ind w:left="907" w:hanging="907"/>
      </w:pPr>
      <w:rPr>
        <w:rFonts w:hint="default"/>
      </w:rPr>
    </w:lvl>
    <w:lvl w:ilvl="4">
      <w:start w:val="1"/>
      <w:numFmt w:val="none"/>
      <w:pStyle w:val="HeadingList"/>
      <w:lvlText w:val=""/>
      <w:lvlJc w:val="left"/>
      <w:pPr>
        <w:ind w:left="907" w:hanging="907"/>
      </w:pPr>
      <w:rPr>
        <w:rFonts w:hint="default"/>
      </w:rPr>
    </w:lvl>
    <w:lvl w:ilvl="5">
      <w:start w:val="1"/>
      <w:numFmt w:val="lowerLetter"/>
      <w:pStyle w:val="Heading4"/>
      <w:lvlText w:val="(%6)"/>
      <w:lvlJc w:val="left"/>
      <w:pPr>
        <w:ind w:left="1644" w:hanging="737"/>
      </w:pPr>
      <w:rPr>
        <w:rFonts w:hint="default"/>
      </w:rPr>
    </w:lvl>
    <w:lvl w:ilvl="6">
      <w:start w:val="1"/>
      <w:numFmt w:val="lowerRoman"/>
      <w:pStyle w:val="Heading5"/>
      <w:lvlText w:val="(%7)"/>
      <w:lvlJc w:val="left"/>
      <w:pPr>
        <w:ind w:left="2381" w:hanging="737"/>
      </w:pPr>
      <w:rPr>
        <w:rFonts w:hint="default"/>
      </w:rPr>
    </w:lvl>
    <w:lvl w:ilvl="7">
      <w:start w:val="1"/>
      <w:numFmt w:val="upperLetter"/>
      <w:pStyle w:val="Heading6"/>
      <w:lvlText w:val="(%8)"/>
      <w:lvlJc w:val="left"/>
      <w:pPr>
        <w:ind w:left="3119" w:hanging="738"/>
      </w:pPr>
      <w:rPr>
        <w:rFonts w:hint="default"/>
      </w:rPr>
    </w:lvl>
    <w:lvl w:ilvl="8">
      <w:start w:val="1"/>
      <w:numFmt w:val="decimal"/>
      <w:pStyle w:val="Heading7"/>
      <w:lvlText w:val="(%9)"/>
      <w:lvlJc w:val="left"/>
      <w:pPr>
        <w:ind w:left="3856" w:hanging="737"/>
      </w:pPr>
      <w:rPr>
        <w:rFonts w:hint="default"/>
      </w:rPr>
    </w:lvl>
  </w:abstractNum>
  <w:abstractNum w:abstractNumId="13" w15:restartNumberingAfterBreak="0">
    <w:nsid w:val="3FC119E2"/>
    <w:multiLevelType w:val="multilevel"/>
    <w:tmpl w:val="A5761A18"/>
    <w:lvl w:ilvl="0">
      <w:start w:val="1"/>
      <w:numFmt w:val="decimal"/>
      <w:lvlText w:val="%1)"/>
      <w:lvlJc w:val="left"/>
      <w:pPr>
        <w:tabs>
          <w:tab w:val="num" w:pos="0"/>
        </w:tabs>
        <w:ind w:left="1211"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2B15524"/>
    <w:multiLevelType w:val="multilevel"/>
    <w:tmpl w:val="2F541BCE"/>
    <w:lvl w:ilvl="0">
      <w:start w:val="1"/>
      <w:numFmt w:val="decimal"/>
      <w:lvlText w:val="%1."/>
      <w:lvlJc w:val="left"/>
      <w:pPr>
        <w:tabs>
          <w:tab w:val="num" w:pos="-360"/>
        </w:tabs>
        <w:ind w:left="36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3A25667"/>
    <w:multiLevelType w:val="multilevel"/>
    <w:tmpl w:val="A5761A18"/>
    <w:lvl w:ilvl="0">
      <w:start w:val="1"/>
      <w:numFmt w:val="decimal"/>
      <w:lvlText w:val="%1)"/>
      <w:lvlJc w:val="left"/>
      <w:pPr>
        <w:tabs>
          <w:tab w:val="num" w:pos="0"/>
        </w:tabs>
        <w:ind w:left="1211"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4412A53"/>
    <w:multiLevelType w:val="multilevel"/>
    <w:tmpl w:val="CE2ABE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45517E67"/>
    <w:multiLevelType w:val="multilevel"/>
    <w:tmpl w:val="A5761A18"/>
    <w:lvl w:ilvl="0">
      <w:start w:val="1"/>
      <w:numFmt w:val="decimal"/>
      <w:lvlText w:val="%1)"/>
      <w:lvlJc w:val="left"/>
      <w:pPr>
        <w:tabs>
          <w:tab w:val="num" w:pos="0"/>
        </w:tabs>
        <w:ind w:left="1211"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DF16445"/>
    <w:multiLevelType w:val="multilevel"/>
    <w:tmpl w:val="A5761A18"/>
    <w:lvl w:ilvl="0">
      <w:start w:val="1"/>
      <w:numFmt w:val="decimal"/>
      <w:lvlText w:val="%1)"/>
      <w:lvlJc w:val="left"/>
      <w:pPr>
        <w:tabs>
          <w:tab w:val="num" w:pos="0"/>
        </w:tabs>
        <w:ind w:left="1211"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DF4518A"/>
    <w:multiLevelType w:val="multilevel"/>
    <w:tmpl w:val="A5761A18"/>
    <w:lvl w:ilvl="0">
      <w:start w:val="1"/>
      <w:numFmt w:val="decimal"/>
      <w:lvlText w:val="%1)"/>
      <w:lvlJc w:val="left"/>
      <w:pPr>
        <w:tabs>
          <w:tab w:val="num" w:pos="0"/>
        </w:tabs>
        <w:ind w:left="1211"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E531755"/>
    <w:multiLevelType w:val="multilevel"/>
    <w:tmpl w:val="854EA0FA"/>
    <w:lvl w:ilvl="0">
      <w:start w:val="1"/>
      <w:numFmt w:val="decimal"/>
      <w:lvlText w:val="%1"/>
      <w:lvlJc w:val="left"/>
      <w:pPr>
        <w:tabs>
          <w:tab w:val="num" w:pos="0"/>
        </w:tabs>
        <w:ind w:left="1211" w:hanging="360"/>
      </w:pPr>
      <w:rPr>
        <w:rFonts w:ascii="Georgia" w:hAnsi="Georgia" w:cs="Georgia"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6F009F9"/>
    <w:multiLevelType w:val="hybridMultilevel"/>
    <w:tmpl w:val="A1EC4F82"/>
    <w:lvl w:ilvl="0" w:tplc="2A84714C">
      <w:start w:val="1"/>
      <w:numFmt w:val="bullet"/>
      <w:lvlText w:val=""/>
      <w:lvlJc w:val="left"/>
      <w:pPr>
        <w:ind w:left="243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2A84714C">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576EA7"/>
    <w:multiLevelType w:val="multilevel"/>
    <w:tmpl w:val="854EA0FA"/>
    <w:lvl w:ilvl="0">
      <w:start w:val="1"/>
      <w:numFmt w:val="decimal"/>
      <w:lvlText w:val="%1"/>
      <w:lvlJc w:val="left"/>
      <w:pPr>
        <w:tabs>
          <w:tab w:val="num" w:pos="0"/>
        </w:tabs>
        <w:ind w:left="1211" w:hanging="360"/>
      </w:pPr>
      <w:rPr>
        <w:rFonts w:ascii="Georgia" w:hAnsi="Georgia" w:cs="Georgia"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B1172D1"/>
    <w:multiLevelType w:val="hybridMultilevel"/>
    <w:tmpl w:val="37C61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A8689B"/>
    <w:multiLevelType w:val="multilevel"/>
    <w:tmpl w:val="A5761A18"/>
    <w:lvl w:ilvl="0">
      <w:start w:val="1"/>
      <w:numFmt w:val="decimal"/>
      <w:lvlText w:val="%1)"/>
      <w:lvlJc w:val="left"/>
      <w:pPr>
        <w:tabs>
          <w:tab w:val="num" w:pos="0"/>
        </w:tabs>
        <w:ind w:left="1211"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14C6141"/>
    <w:multiLevelType w:val="hybridMultilevel"/>
    <w:tmpl w:val="1A546C5A"/>
    <w:lvl w:ilvl="0" w:tplc="A07C4D0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C115E9"/>
    <w:multiLevelType w:val="multilevel"/>
    <w:tmpl w:val="A5761A18"/>
    <w:lvl w:ilvl="0">
      <w:start w:val="1"/>
      <w:numFmt w:val="decimal"/>
      <w:lvlText w:val="%1)"/>
      <w:lvlJc w:val="left"/>
      <w:pPr>
        <w:tabs>
          <w:tab w:val="num" w:pos="0"/>
        </w:tabs>
        <w:ind w:left="1211"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50A0CEB"/>
    <w:multiLevelType w:val="multilevel"/>
    <w:tmpl w:val="C37E2E0C"/>
    <w:lvl w:ilvl="0">
      <w:start w:val="1"/>
      <w:numFmt w:val="none"/>
      <w:lvlText w:val=""/>
      <w:lvlJc w:val="left"/>
      <w:pPr>
        <w:ind w:left="907" w:hanging="907"/>
      </w:pPr>
      <w:rPr>
        <w:rFonts w:hint="default"/>
      </w:rPr>
    </w:lvl>
    <w:lvl w:ilvl="1">
      <w:start w:val="1"/>
      <w:numFmt w:val="decimal"/>
      <w:pStyle w:val="Schedule1"/>
      <w:lvlText w:val="%2."/>
      <w:lvlJc w:val="left"/>
      <w:pPr>
        <w:tabs>
          <w:tab w:val="num" w:pos="720"/>
        </w:tabs>
        <w:ind w:left="720" w:hanging="720"/>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lvlText w:val="(%4)"/>
      <w:lvlJc w:val="left"/>
      <w:pPr>
        <w:ind w:left="1644" w:hanging="737"/>
      </w:pPr>
      <w:rPr>
        <w:rFonts w:hint="default"/>
      </w:rPr>
    </w:lvl>
    <w:lvl w:ilvl="4">
      <w:start w:val="1"/>
      <w:numFmt w:val="none"/>
      <w:lvlText w:val=""/>
      <w:lvlJc w:val="left"/>
      <w:pPr>
        <w:ind w:left="1644" w:hanging="737"/>
      </w:pPr>
      <w:rPr>
        <w:rFonts w:hint="default"/>
      </w:rPr>
    </w:lvl>
    <w:lvl w:ilvl="5">
      <w:start w:val="1"/>
      <w:numFmt w:val="upperLetter"/>
      <w:lvlText w:val="(%6)"/>
      <w:lvlJc w:val="left"/>
      <w:pPr>
        <w:ind w:left="2381" w:hanging="737"/>
      </w:pPr>
      <w:rPr>
        <w:rFonts w:hint="default"/>
      </w:rPr>
    </w:lvl>
    <w:lvl w:ilvl="6">
      <w:start w:val="1"/>
      <w:numFmt w:val="decimal"/>
      <w:lvlText w:val="(%7)"/>
      <w:lvlJc w:val="left"/>
      <w:pPr>
        <w:ind w:left="3119" w:hanging="738"/>
      </w:pPr>
      <w:rPr>
        <w:rFonts w:hint="default"/>
      </w:rPr>
    </w:lvl>
    <w:lvl w:ilvl="7">
      <w:start w:val="1"/>
      <w:numFmt w:val="lowerLetter"/>
      <w:lvlText w:val="(%8)"/>
      <w:lvlJc w:val="left"/>
      <w:pPr>
        <w:ind w:left="3119" w:hanging="738"/>
      </w:pPr>
      <w:rPr>
        <w:rFonts w:hint="default"/>
      </w:rPr>
    </w:lvl>
    <w:lvl w:ilvl="8">
      <w:start w:val="1"/>
      <w:numFmt w:val="lowerRoman"/>
      <w:lvlText w:val="(%9)"/>
      <w:lvlJc w:val="left"/>
      <w:pPr>
        <w:ind w:left="3119" w:hanging="738"/>
      </w:pPr>
      <w:rPr>
        <w:rFonts w:hint="default"/>
      </w:rPr>
    </w:lvl>
  </w:abstractNum>
  <w:abstractNum w:abstractNumId="28" w15:restartNumberingAfterBreak="0">
    <w:nsid w:val="695831FA"/>
    <w:multiLevelType w:val="multilevel"/>
    <w:tmpl w:val="E8C2DA8C"/>
    <w:lvl w:ilvl="0">
      <w:start w:val="1"/>
      <w:numFmt w:val="lowerLetter"/>
      <w:lvlText w:val="(%1)"/>
      <w:lvlJc w:val="left"/>
      <w:pPr>
        <w:tabs>
          <w:tab w:val="left" w:pos="792"/>
        </w:tabs>
      </w:pPr>
      <w:rPr>
        <w:rFonts w:ascii="Georgia" w:eastAsia="Georgia" w:hAnsi="Georgia"/>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6C0365"/>
    <w:multiLevelType w:val="multilevel"/>
    <w:tmpl w:val="854EA0FA"/>
    <w:lvl w:ilvl="0">
      <w:start w:val="1"/>
      <w:numFmt w:val="decimal"/>
      <w:lvlText w:val="%1"/>
      <w:lvlJc w:val="left"/>
      <w:pPr>
        <w:tabs>
          <w:tab w:val="num" w:pos="0"/>
        </w:tabs>
        <w:ind w:left="1211" w:hanging="360"/>
      </w:pPr>
      <w:rPr>
        <w:rFonts w:ascii="Georgia" w:hAnsi="Georgia" w:cs="Georgia"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3DA44CF"/>
    <w:multiLevelType w:val="multilevel"/>
    <w:tmpl w:val="FBD0F4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AB83D04"/>
    <w:multiLevelType w:val="multilevel"/>
    <w:tmpl w:val="A5761A18"/>
    <w:lvl w:ilvl="0">
      <w:start w:val="1"/>
      <w:numFmt w:val="decimal"/>
      <w:lvlText w:val="%1)"/>
      <w:lvlJc w:val="left"/>
      <w:pPr>
        <w:tabs>
          <w:tab w:val="num" w:pos="0"/>
        </w:tabs>
        <w:ind w:left="1211"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C105378"/>
    <w:multiLevelType w:val="multilevel"/>
    <w:tmpl w:val="854EA0FA"/>
    <w:lvl w:ilvl="0">
      <w:start w:val="1"/>
      <w:numFmt w:val="decimal"/>
      <w:lvlText w:val="%1"/>
      <w:lvlJc w:val="left"/>
      <w:pPr>
        <w:tabs>
          <w:tab w:val="num" w:pos="283"/>
        </w:tabs>
        <w:ind w:left="1494" w:hanging="360"/>
      </w:pPr>
      <w:rPr>
        <w:rFonts w:ascii="Georgia" w:hAnsi="Georgia" w:cs="Georgia" w:hint="default"/>
      </w:rPr>
    </w:lvl>
    <w:lvl w:ilvl="1">
      <w:start w:val="1"/>
      <w:numFmt w:val="lowerLetter"/>
      <w:lvlText w:val="%2."/>
      <w:lvlJc w:val="left"/>
      <w:pPr>
        <w:tabs>
          <w:tab w:val="num" w:pos="284"/>
        </w:tabs>
        <w:ind w:left="1724" w:hanging="360"/>
      </w:pPr>
    </w:lvl>
    <w:lvl w:ilvl="2">
      <w:start w:val="1"/>
      <w:numFmt w:val="lowerRoman"/>
      <w:lvlText w:val="%3."/>
      <w:lvlJc w:val="right"/>
      <w:pPr>
        <w:tabs>
          <w:tab w:val="num" w:pos="284"/>
        </w:tabs>
        <w:ind w:left="2444" w:hanging="180"/>
      </w:pPr>
    </w:lvl>
    <w:lvl w:ilvl="3">
      <w:start w:val="1"/>
      <w:numFmt w:val="decimal"/>
      <w:lvlText w:val="%4."/>
      <w:lvlJc w:val="left"/>
      <w:pPr>
        <w:tabs>
          <w:tab w:val="num" w:pos="284"/>
        </w:tabs>
        <w:ind w:left="3164" w:hanging="360"/>
      </w:pPr>
    </w:lvl>
    <w:lvl w:ilvl="4">
      <w:start w:val="1"/>
      <w:numFmt w:val="lowerLetter"/>
      <w:lvlText w:val="%5."/>
      <w:lvlJc w:val="left"/>
      <w:pPr>
        <w:tabs>
          <w:tab w:val="num" w:pos="284"/>
        </w:tabs>
        <w:ind w:left="3884" w:hanging="360"/>
      </w:pPr>
    </w:lvl>
    <w:lvl w:ilvl="5">
      <w:start w:val="1"/>
      <w:numFmt w:val="lowerRoman"/>
      <w:lvlText w:val="%6."/>
      <w:lvlJc w:val="right"/>
      <w:pPr>
        <w:tabs>
          <w:tab w:val="num" w:pos="284"/>
        </w:tabs>
        <w:ind w:left="4604" w:hanging="180"/>
      </w:pPr>
    </w:lvl>
    <w:lvl w:ilvl="6">
      <w:start w:val="1"/>
      <w:numFmt w:val="decimal"/>
      <w:lvlText w:val="%7."/>
      <w:lvlJc w:val="left"/>
      <w:pPr>
        <w:tabs>
          <w:tab w:val="num" w:pos="284"/>
        </w:tabs>
        <w:ind w:left="5324" w:hanging="360"/>
      </w:pPr>
    </w:lvl>
    <w:lvl w:ilvl="7">
      <w:start w:val="1"/>
      <w:numFmt w:val="lowerLetter"/>
      <w:lvlText w:val="%8."/>
      <w:lvlJc w:val="left"/>
      <w:pPr>
        <w:tabs>
          <w:tab w:val="num" w:pos="284"/>
        </w:tabs>
        <w:ind w:left="6044" w:hanging="360"/>
      </w:pPr>
    </w:lvl>
    <w:lvl w:ilvl="8">
      <w:start w:val="1"/>
      <w:numFmt w:val="lowerRoman"/>
      <w:lvlText w:val="%9."/>
      <w:lvlJc w:val="right"/>
      <w:pPr>
        <w:tabs>
          <w:tab w:val="num" w:pos="284"/>
        </w:tabs>
        <w:ind w:left="6764" w:hanging="180"/>
      </w:pPr>
    </w:lvl>
  </w:abstractNum>
  <w:num w:numId="1" w16cid:durableId="1150055534">
    <w:abstractNumId w:val="14"/>
  </w:num>
  <w:num w:numId="2" w16cid:durableId="602688783">
    <w:abstractNumId w:val="32"/>
  </w:num>
  <w:num w:numId="3" w16cid:durableId="708533150">
    <w:abstractNumId w:val="16"/>
  </w:num>
  <w:num w:numId="4" w16cid:durableId="1435008919">
    <w:abstractNumId w:val="8"/>
  </w:num>
  <w:num w:numId="5" w16cid:durableId="625239241">
    <w:abstractNumId w:val="26"/>
  </w:num>
  <w:num w:numId="6" w16cid:durableId="1639383106">
    <w:abstractNumId w:val="17"/>
  </w:num>
  <w:num w:numId="7" w16cid:durableId="745036445">
    <w:abstractNumId w:val="22"/>
  </w:num>
  <w:num w:numId="8" w16cid:durableId="259260546">
    <w:abstractNumId w:val="18"/>
  </w:num>
  <w:num w:numId="9" w16cid:durableId="1142499688">
    <w:abstractNumId w:val="3"/>
  </w:num>
  <w:num w:numId="10" w16cid:durableId="546259143">
    <w:abstractNumId w:val="21"/>
  </w:num>
  <w:num w:numId="11" w16cid:durableId="1351177542">
    <w:abstractNumId w:val="13"/>
  </w:num>
  <w:num w:numId="12" w16cid:durableId="754934378">
    <w:abstractNumId w:val="4"/>
  </w:num>
  <w:num w:numId="13" w16cid:durableId="1755786403">
    <w:abstractNumId w:val="24"/>
  </w:num>
  <w:num w:numId="14" w16cid:durableId="1737168046">
    <w:abstractNumId w:val="31"/>
  </w:num>
  <w:num w:numId="15" w16cid:durableId="673845691">
    <w:abstractNumId w:val="15"/>
  </w:num>
  <w:num w:numId="16" w16cid:durableId="1602908680">
    <w:abstractNumId w:val="29"/>
  </w:num>
  <w:num w:numId="17" w16cid:durableId="1025595475">
    <w:abstractNumId w:val="20"/>
  </w:num>
  <w:num w:numId="18" w16cid:durableId="565919607">
    <w:abstractNumId w:val="1"/>
  </w:num>
  <w:num w:numId="19" w16cid:durableId="585920478">
    <w:abstractNumId w:val="19"/>
  </w:num>
  <w:num w:numId="20" w16cid:durableId="1791045910">
    <w:abstractNumId w:val="5"/>
  </w:num>
  <w:num w:numId="21" w16cid:durableId="1625230481">
    <w:abstractNumId w:val="10"/>
  </w:num>
  <w:num w:numId="22" w16cid:durableId="1877086918">
    <w:abstractNumId w:val="9"/>
  </w:num>
  <w:num w:numId="23" w16cid:durableId="886917269">
    <w:abstractNumId w:val="7"/>
  </w:num>
  <w:num w:numId="24" w16cid:durableId="1230506446">
    <w:abstractNumId w:val="6"/>
  </w:num>
  <w:num w:numId="25" w16cid:durableId="1792432783">
    <w:abstractNumId w:val="28"/>
  </w:num>
  <w:num w:numId="26" w16cid:durableId="466242020">
    <w:abstractNumId w:val="12"/>
  </w:num>
  <w:num w:numId="27" w16cid:durableId="10763698">
    <w:abstractNumId w:val="12"/>
  </w:num>
  <w:num w:numId="28" w16cid:durableId="1643537536">
    <w:abstractNumId w:val="12"/>
  </w:num>
  <w:num w:numId="29" w16cid:durableId="1736971486">
    <w:abstractNumId w:val="12"/>
  </w:num>
  <w:num w:numId="30" w16cid:durableId="836044954">
    <w:abstractNumId w:val="12"/>
  </w:num>
  <w:num w:numId="31" w16cid:durableId="2062091768">
    <w:abstractNumId w:val="12"/>
  </w:num>
  <w:num w:numId="32" w16cid:durableId="765269722">
    <w:abstractNumId w:val="12"/>
  </w:num>
  <w:num w:numId="33" w16cid:durableId="77217878">
    <w:abstractNumId w:val="12"/>
  </w:num>
  <w:num w:numId="34" w16cid:durableId="1423720414">
    <w:abstractNumId w:val="12"/>
  </w:num>
  <w:num w:numId="35" w16cid:durableId="420178867">
    <w:abstractNumId w:val="12"/>
  </w:num>
  <w:num w:numId="36" w16cid:durableId="1869025756">
    <w:abstractNumId w:val="0"/>
  </w:num>
  <w:num w:numId="37" w16cid:durableId="1920434080">
    <w:abstractNumId w:val="0"/>
  </w:num>
  <w:num w:numId="38" w16cid:durableId="1862161063">
    <w:abstractNumId w:val="12"/>
  </w:num>
  <w:num w:numId="39" w16cid:durableId="552154901">
    <w:abstractNumId w:val="12"/>
    <w:lvlOverride w:ilvl="0">
      <w:lvl w:ilvl="0">
        <w:start w:val="1"/>
        <w:numFmt w:val="none"/>
        <w:pStyle w:val="Heading0"/>
        <w:lvlText w:val=""/>
        <w:lvlJc w:val="left"/>
        <w:pPr>
          <w:ind w:left="907" w:hanging="907"/>
        </w:pPr>
        <w:rPr>
          <w:rFonts w:hint="default"/>
        </w:rPr>
      </w:lvl>
    </w:lvlOverride>
    <w:lvlOverride w:ilvl="1">
      <w:lvl w:ilvl="1">
        <w:start w:val="1"/>
        <w:numFmt w:val="decimal"/>
        <w:pStyle w:val="Heading1"/>
        <w:lvlText w:val="%2."/>
        <w:lvlJc w:val="left"/>
        <w:pPr>
          <w:tabs>
            <w:tab w:val="num" w:pos="720"/>
          </w:tabs>
          <w:ind w:left="720" w:hanging="720"/>
        </w:pPr>
        <w:rPr>
          <w:rFonts w:hint="default"/>
          <w:b w:val="0"/>
          <w:i w:val="0"/>
        </w:rPr>
      </w:lvl>
    </w:lvlOverride>
    <w:lvlOverride w:ilvl="2">
      <w:lvl w:ilvl="2">
        <w:start w:val="1"/>
        <w:numFmt w:val="lowerLetter"/>
        <w:pStyle w:val="Heading2"/>
        <w:lvlText w:val="(%3)"/>
        <w:lvlJc w:val="left"/>
        <w:pPr>
          <w:tabs>
            <w:tab w:val="num" w:pos="907"/>
          </w:tabs>
          <w:ind w:left="1134" w:hanging="414"/>
        </w:pPr>
        <w:rPr>
          <w:rFonts w:hint="default"/>
          <w:b w:val="0"/>
          <w:i w:val="0"/>
        </w:rPr>
      </w:lvl>
    </w:lvlOverride>
    <w:lvlOverride w:ilvl="3">
      <w:lvl w:ilvl="3">
        <w:start w:val="1"/>
        <w:numFmt w:val="decimal"/>
        <w:pStyle w:val="Heading3"/>
        <w:lvlText w:val="%2.%3.%4"/>
        <w:lvlJc w:val="left"/>
        <w:pPr>
          <w:ind w:left="907" w:hanging="907"/>
        </w:pPr>
        <w:rPr>
          <w:rFonts w:hint="default"/>
        </w:rPr>
      </w:lvl>
    </w:lvlOverride>
    <w:lvlOverride w:ilvl="4">
      <w:lvl w:ilvl="4">
        <w:start w:val="1"/>
        <w:numFmt w:val="none"/>
        <w:pStyle w:val="HeadingList"/>
        <w:lvlText w:val=""/>
        <w:lvlJc w:val="left"/>
        <w:pPr>
          <w:ind w:left="907" w:hanging="907"/>
        </w:pPr>
        <w:rPr>
          <w:rFonts w:hint="default"/>
        </w:rPr>
      </w:lvl>
    </w:lvlOverride>
    <w:lvlOverride w:ilvl="5">
      <w:lvl w:ilvl="5">
        <w:start w:val="1"/>
        <w:numFmt w:val="lowerLetter"/>
        <w:pStyle w:val="Heading4"/>
        <w:lvlText w:val="(%6)"/>
        <w:lvlJc w:val="left"/>
        <w:pPr>
          <w:ind w:left="1644" w:hanging="737"/>
        </w:pPr>
        <w:rPr>
          <w:rFonts w:hint="default"/>
        </w:rPr>
      </w:lvl>
    </w:lvlOverride>
    <w:lvlOverride w:ilvl="6">
      <w:lvl w:ilvl="6">
        <w:start w:val="1"/>
        <w:numFmt w:val="lowerRoman"/>
        <w:pStyle w:val="Heading5"/>
        <w:lvlText w:val="(%7)"/>
        <w:lvlJc w:val="left"/>
        <w:pPr>
          <w:ind w:left="2381" w:hanging="737"/>
        </w:pPr>
        <w:rPr>
          <w:rFonts w:hint="default"/>
        </w:rPr>
      </w:lvl>
    </w:lvlOverride>
    <w:lvlOverride w:ilvl="7">
      <w:lvl w:ilvl="7">
        <w:start w:val="1"/>
        <w:numFmt w:val="upperLetter"/>
        <w:pStyle w:val="Heading6"/>
        <w:lvlText w:val="(%8)"/>
        <w:lvlJc w:val="left"/>
        <w:pPr>
          <w:ind w:left="3119" w:hanging="738"/>
        </w:pPr>
        <w:rPr>
          <w:rFonts w:hint="default"/>
        </w:rPr>
      </w:lvl>
    </w:lvlOverride>
    <w:lvlOverride w:ilvl="8">
      <w:lvl w:ilvl="8">
        <w:start w:val="1"/>
        <w:numFmt w:val="decimal"/>
        <w:pStyle w:val="Heading7"/>
        <w:lvlText w:val="(%9)"/>
        <w:lvlJc w:val="left"/>
        <w:pPr>
          <w:ind w:left="3856" w:hanging="737"/>
        </w:pPr>
        <w:rPr>
          <w:rFonts w:hint="default"/>
        </w:rPr>
      </w:lvl>
    </w:lvlOverride>
  </w:num>
  <w:num w:numId="40" w16cid:durableId="2074504010">
    <w:abstractNumId w:val="23"/>
  </w:num>
  <w:num w:numId="41" w16cid:durableId="1464620680">
    <w:abstractNumId w:val="27"/>
  </w:num>
  <w:num w:numId="42" w16cid:durableId="161359984">
    <w:abstractNumId w:val="27"/>
  </w:num>
  <w:num w:numId="43" w16cid:durableId="944578133">
    <w:abstractNumId w:val="27"/>
  </w:num>
  <w:num w:numId="44" w16cid:durableId="1144348617">
    <w:abstractNumId w:val="27"/>
  </w:num>
  <w:num w:numId="45" w16cid:durableId="14996889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34414198">
    <w:abstractNumId w:val="11"/>
  </w:num>
  <w:num w:numId="47" w16cid:durableId="179634230">
    <w:abstractNumId w:val="25"/>
  </w:num>
  <w:num w:numId="48" w16cid:durableId="855194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autoHyphenation/>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79D"/>
    <w:rsid w:val="00001776"/>
    <w:rsid w:val="00003F2F"/>
    <w:rsid w:val="000052DA"/>
    <w:rsid w:val="000112C6"/>
    <w:rsid w:val="00012F69"/>
    <w:rsid w:val="0001315B"/>
    <w:rsid w:val="00013C13"/>
    <w:rsid w:val="00015997"/>
    <w:rsid w:val="0002501B"/>
    <w:rsid w:val="000254E3"/>
    <w:rsid w:val="00025B32"/>
    <w:rsid w:val="0003067D"/>
    <w:rsid w:val="00035F6C"/>
    <w:rsid w:val="000427E1"/>
    <w:rsid w:val="000516D3"/>
    <w:rsid w:val="00055FA8"/>
    <w:rsid w:val="00062E51"/>
    <w:rsid w:val="00066350"/>
    <w:rsid w:val="000703C2"/>
    <w:rsid w:val="0008109E"/>
    <w:rsid w:val="00082602"/>
    <w:rsid w:val="00090ABB"/>
    <w:rsid w:val="00092243"/>
    <w:rsid w:val="00092D8F"/>
    <w:rsid w:val="000952FF"/>
    <w:rsid w:val="000957DF"/>
    <w:rsid w:val="000B25E7"/>
    <w:rsid w:val="000B49DB"/>
    <w:rsid w:val="000B6DC8"/>
    <w:rsid w:val="000C3E4C"/>
    <w:rsid w:val="000C6FE8"/>
    <w:rsid w:val="000D43BB"/>
    <w:rsid w:val="000D55AD"/>
    <w:rsid w:val="000E5B3D"/>
    <w:rsid w:val="000F58AF"/>
    <w:rsid w:val="0010110D"/>
    <w:rsid w:val="00101461"/>
    <w:rsid w:val="001038B6"/>
    <w:rsid w:val="001047DA"/>
    <w:rsid w:val="00112719"/>
    <w:rsid w:val="00116DC2"/>
    <w:rsid w:val="0012129E"/>
    <w:rsid w:val="00126040"/>
    <w:rsid w:val="001275BF"/>
    <w:rsid w:val="00137A8D"/>
    <w:rsid w:val="001408EB"/>
    <w:rsid w:val="00146F91"/>
    <w:rsid w:val="00153D0C"/>
    <w:rsid w:val="0015650D"/>
    <w:rsid w:val="00156AF0"/>
    <w:rsid w:val="0017109A"/>
    <w:rsid w:val="001727EC"/>
    <w:rsid w:val="00174981"/>
    <w:rsid w:val="00176593"/>
    <w:rsid w:val="00176DC3"/>
    <w:rsid w:val="00177905"/>
    <w:rsid w:val="00187839"/>
    <w:rsid w:val="00190910"/>
    <w:rsid w:val="00190F73"/>
    <w:rsid w:val="00193C5A"/>
    <w:rsid w:val="001A49C1"/>
    <w:rsid w:val="001A5DE0"/>
    <w:rsid w:val="001C0E0D"/>
    <w:rsid w:val="001C218B"/>
    <w:rsid w:val="001C516C"/>
    <w:rsid w:val="001C5592"/>
    <w:rsid w:val="001C71F6"/>
    <w:rsid w:val="001C7319"/>
    <w:rsid w:val="001D2ABD"/>
    <w:rsid w:val="001D5C3C"/>
    <w:rsid w:val="001E49D6"/>
    <w:rsid w:val="001E618E"/>
    <w:rsid w:val="001E7326"/>
    <w:rsid w:val="001F04EF"/>
    <w:rsid w:val="001F0D5B"/>
    <w:rsid w:val="001F20A1"/>
    <w:rsid w:val="001F5082"/>
    <w:rsid w:val="00200572"/>
    <w:rsid w:val="00200B1B"/>
    <w:rsid w:val="002038EE"/>
    <w:rsid w:val="00205940"/>
    <w:rsid w:val="00210A07"/>
    <w:rsid w:val="00213DD2"/>
    <w:rsid w:val="002147C4"/>
    <w:rsid w:val="002176FF"/>
    <w:rsid w:val="00221D17"/>
    <w:rsid w:val="00231AC6"/>
    <w:rsid w:val="00234FF7"/>
    <w:rsid w:val="00235CC4"/>
    <w:rsid w:val="0024448C"/>
    <w:rsid w:val="002469D9"/>
    <w:rsid w:val="0026670D"/>
    <w:rsid w:val="0026684D"/>
    <w:rsid w:val="002703FE"/>
    <w:rsid w:val="002807C9"/>
    <w:rsid w:val="0028266E"/>
    <w:rsid w:val="0028395B"/>
    <w:rsid w:val="00284F2D"/>
    <w:rsid w:val="00290923"/>
    <w:rsid w:val="00293DBC"/>
    <w:rsid w:val="002A1C07"/>
    <w:rsid w:val="002A7318"/>
    <w:rsid w:val="002B3A50"/>
    <w:rsid w:val="002B62BF"/>
    <w:rsid w:val="002C2548"/>
    <w:rsid w:val="002C280C"/>
    <w:rsid w:val="002C5C79"/>
    <w:rsid w:val="002E103A"/>
    <w:rsid w:val="002E49E5"/>
    <w:rsid w:val="002F53B3"/>
    <w:rsid w:val="00302588"/>
    <w:rsid w:val="003043B9"/>
    <w:rsid w:val="00307432"/>
    <w:rsid w:val="00317B0A"/>
    <w:rsid w:val="0033396B"/>
    <w:rsid w:val="00335E69"/>
    <w:rsid w:val="00342A76"/>
    <w:rsid w:val="0034332E"/>
    <w:rsid w:val="0034339E"/>
    <w:rsid w:val="00344D07"/>
    <w:rsid w:val="00347FA9"/>
    <w:rsid w:val="00350E06"/>
    <w:rsid w:val="00351382"/>
    <w:rsid w:val="0035245C"/>
    <w:rsid w:val="00355DFB"/>
    <w:rsid w:val="003608BF"/>
    <w:rsid w:val="00373E26"/>
    <w:rsid w:val="00377BE2"/>
    <w:rsid w:val="00380695"/>
    <w:rsid w:val="00380BDC"/>
    <w:rsid w:val="00380F12"/>
    <w:rsid w:val="003A608B"/>
    <w:rsid w:val="003B2CDB"/>
    <w:rsid w:val="003B7756"/>
    <w:rsid w:val="003C1A7A"/>
    <w:rsid w:val="003C2430"/>
    <w:rsid w:val="003C2770"/>
    <w:rsid w:val="003C4672"/>
    <w:rsid w:val="003D22DC"/>
    <w:rsid w:val="003D5ABB"/>
    <w:rsid w:val="003E4AEA"/>
    <w:rsid w:val="003F13ED"/>
    <w:rsid w:val="003F240C"/>
    <w:rsid w:val="00402968"/>
    <w:rsid w:val="004274C0"/>
    <w:rsid w:val="00434DA8"/>
    <w:rsid w:val="00444215"/>
    <w:rsid w:val="0044605E"/>
    <w:rsid w:val="0045036F"/>
    <w:rsid w:val="0046145A"/>
    <w:rsid w:val="0046661D"/>
    <w:rsid w:val="004765B0"/>
    <w:rsid w:val="00480088"/>
    <w:rsid w:val="00487A64"/>
    <w:rsid w:val="004906B9"/>
    <w:rsid w:val="00496904"/>
    <w:rsid w:val="00497D5C"/>
    <w:rsid w:val="004A4939"/>
    <w:rsid w:val="004A6DA7"/>
    <w:rsid w:val="004B7B5C"/>
    <w:rsid w:val="004B7B70"/>
    <w:rsid w:val="004C16BD"/>
    <w:rsid w:val="004C1FBF"/>
    <w:rsid w:val="004C3546"/>
    <w:rsid w:val="004C7F23"/>
    <w:rsid w:val="004E18ED"/>
    <w:rsid w:val="004E5B9C"/>
    <w:rsid w:val="004E76AB"/>
    <w:rsid w:val="004F5DA9"/>
    <w:rsid w:val="004F744A"/>
    <w:rsid w:val="00501082"/>
    <w:rsid w:val="00517834"/>
    <w:rsid w:val="00517AC9"/>
    <w:rsid w:val="00517D29"/>
    <w:rsid w:val="00526812"/>
    <w:rsid w:val="00527639"/>
    <w:rsid w:val="005364D1"/>
    <w:rsid w:val="00541646"/>
    <w:rsid w:val="00547F7E"/>
    <w:rsid w:val="005507E4"/>
    <w:rsid w:val="00555491"/>
    <w:rsid w:val="00557A5E"/>
    <w:rsid w:val="00564267"/>
    <w:rsid w:val="00576627"/>
    <w:rsid w:val="0058454C"/>
    <w:rsid w:val="0059152B"/>
    <w:rsid w:val="005938DC"/>
    <w:rsid w:val="00594150"/>
    <w:rsid w:val="00596A6E"/>
    <w:rsid w:val="005A31BB"/>
    <w:rsid w:val="005B78A7"/>
    <w:rsid w:val="005B7FE9"/>
    <w:rsid w:val="005C779D"/>
    <w:rsid w:val="005D3384"/>
    <w:rsid w:val="005D5DF1"/>
    <w:rsid w:val="005E0C1B"/>
    <w:rsid w:val="005E163C"/>
    <w:rsid w:val="005E63A5"/>
    <w:rsid w:val="005F24CC"/>
    <w:rsid w:val="006020EF"/>
    <w:rsid w:val="00602FCD"/>
    <w:rsid w:val="006064D9"/>
    <w:rsid w:val="0062313F"/>
    <w:rsid w:val="0062341C"/>
    <w:rsid w:val="006262A3"/>
    <w:rsid w:val="00627AEB"/>
    <w:rsid w:val="0063580E"/>
    <w:rsid w:val="006401CB"/>
    <w:rsid w:val="00640EFD"/>
    <w:rsid w:val="00646C38"/>
    <w:rsid w:val="0065289F"/>
    <w:rsid w:val="00653BCF"/>
    <w:rsid w:val="00672698"/>
    <w:rsid w:val="00673AFA"/>
    <w:rsid w:val="00675AC8"/>
    <w:rsid w:val="0069546D"/>
    <w:rsid w:val="00695FB4"/>
    <w:rsid w:val="006A6774"/>
    <w:rsid w:val="006B15A9"/>
    <w:rsid w:val="006B359B"/>
    <w:rsid w:val="006B7AD8"/>
    <w:rsid w:val="006C347A"/>
    <w:rsid w:val="006D1058"/>
    <w:rsid w:val="006D3807"/>
    <w:rsid w:val="006D4DB7"/>
    <w:rsid w:val="006D7231"/>
    <w:rsid w:val="006E0662"/>
    <w:rsid w:val="006E5969"/>
    <w:rsid w:val="006E76F3"/>
    <w:rsid w:val="006F0281"/>
    <w:rsid w:val="006F0476"/>
    <w:rsid w:val="006F5434"/>
    <w:rsid w:val="006F6C02"/>
    <w:rsid w:val="00702040"/>
    <w:rsid w:val="00714137"/>
    <w:rsid w:val="00716F18"/>
    <w:rsid w:val="00720DD0"/>
    <w:rsid w:val="00727662"/>
    <w:rsid w:val="0073668E"/>
    <w:rsid w:val="00736F85"/>
    <w:rsid w:val="00740FAB"/>
    <w:rsid w:val="007426E1"/>
    <w:rsid w:val="00750CF3"/>
    <w:rsid w:val="0076518C"/>
    <w:rsid w:val="00770857"/>
    <w:rsid w:val="0077169B"/>
    <w:rsid w:val="00776958"/>
    <w:rsid w:val="007835EF"/>
    <w:rsid w:val="007A17AA"/>
    <w:rsid w:val="007A1C4A"/>
    <w:rsid w:val="007A2B24"/>
    <w:rsid w:val="007A5248"/>
    <w:rsid w:val="007A56F8"/>
    <w:rsid w:val="007B16B4"/>
    <w:rsid w:val="007B3900"/>
    <w:rsid w:val="007C498A"/>
    <w:rsid w:val="007C58C0"/>
    <w:rsid w:val="007D1530"/>
    <w:rsid w:val="007F01BF"/>
    <w:rsid w:val="007F0799"/>
    <w:rsid w:val="007F36DA"/>
    <w:rsid w:val="00803D99"/>
    <w:rsid w:val="008127E3"/>
    <w:rsid w:val="0081452D"/>
    <w:rsid w:val="00814706"/>
    <w:rsid w:val="00814996"/>
    <w:rsid w:val="00817420"/>
    <w:rsid w:val="008200B7"/>
    <w:rsid w:val="00823346"/>
    <w:rsid w:val="0082707C"/>
    <w:rsid w:val="008350E4"/>
    <w:rsid w:val="00842AB8"/>
    <w:rsid w:val="008452E0"/>
    <w:rsid w:val="00847210"/>
    <w:rsid w:val="008527CF"/>
    <w:rsid w:val="0086285E"/>
    <w:rsid w:val="0086337E"/>
    <w:rsid w:val="00864E2E"/>
    <w:rsid w:val="00866813"/>
    <w:rsid w:val="00866BE9"/>
    <w:rsid w:val="00867EA0"/>
    <w:rsid w:val="0087291A"/>
    <w:rsid w:val="008776B2"/>
    <w:rsid w:val="008823CC"/>
    <w:rsid w:val="008837DB"/>
    <w:rsid w:val="00885D40"/>
    <w:rsid w:val="008927D2"/>
    <w:rsid w:val="00894AC2"/>
    <w:rsid w:val="00896EDC"/>
    <w:rsid w:val="008A56D1"/>
    <w:rsid w:val="008A70F3"/>
    <w:rsid w:val="008B0054"/>
    <w:rsid w:val="008B54A0"/>
    <w:rsid w:val="008C7B11"/>
    <w:rsid w:val="008D1ADB"/>
    <w:rsid w:val="008D50C1"/>
    <w:rsid w:val="008D7254"/>
    <w:rsid w:val="008E7700"/>
    <w:rsid w:val="008F3FEC"/>
    <w:rsid w:val="008F4F5D"/>
    <w:rsid w:val="008F57D2"/>
    <w:rsid w:val="008F6381"/>
    <w:rsid w:val="00905F2D"/>
    <w:rsid w:val="00906576"/>
    <w:rsid w:val="00906D42"/>
    <w:rsid w:val="009106D1"/>
    <w:rsid w:val="0091418A"/>
    <w:rsid w:val="00920F49"/>
    <w:rsid w:val="00922238"/>
    <w:rsid w:val="00923693"/>
    <w:rsid w:val="00923B3C"/>
    <w:rsid w:val="00927D28"/>
    <w:rsid w:val="00930021"/>
    <w:rsid w:val="00932E40"/>
    <w:rsid w:val="00932FA8"/>
    <w:rsid w:val="00935F49"/>
    <w:rsid w:val="00937129"/>
    <w:rsid w:val="00940435"/>
    <w:rsid w:val="00940740"/>
    <w:rsid w:val="009430E0"/>
    <w:rsid w:val="009462A4"/>
    <w:rsid w:val="0094697F"/>
    <w:rsid w:val="0095639A"/>
    <w:rsid w:val="00961A1D"/>
    <w:rsid w:val="00966ACF"/>
    <w:rsid w:val="00970C07"/>
    <w:rsid w:val="00970F93"/>
    <w:rsid w:val="0097704C"/>
    <w:rsid w:val="00993917"/>
    <w:rsid w:val="009A52DA"/>
    <w:rsid w:val="009A600E"/>
    <w:rsid w:val="009A6D3C"/>
    <w:rsid w:val="009B254C"/>
    <w:rsid w:val="009B2EF4"/>
    <w:rsid w:val="009B3AA9"/>
    <w:rsid w:val="009C441B"/>
    <w:rsid w:val="009C72DF"/>
    <w:rsid w:val="009D0A16"/>
    <w:rsid w:val="009D199D"/>
    <w:rsid w:val="009D1E17"/>
    <w:rsid w:val="009D50B7"/>
    <w:rsid w:val="009D78EB"/>
    <w:rsid w:val="009E2958"/>
    <w:rsid w:val="009E648D"/>
    <w:rsid w:val="009F37D6"/>
    <w:rsid w:val="00A0057D"/>
    <w:rsid w:val="00A04663"/>
    <w:rsid w:val="00A071DB"/>
    <w:rsid w:val="00A1169C"/>
    <w:rsid w:val="00A20485"/>
    <w:rsid w:val="00A2441F"/>
    <w:rsid w:val="00A2634A"/>
    <w:rsid w:val="00A46A4E"/>
    <w:rsid w:val="00A47045"/>
    <w:rsid w:val="00A4747C"/>
    <w:rsid w:val="00A504D1"/>
    <w:rsid w:val="00A61722"/>
    <w:rsid w:val="00A65CA1"/>
    <w:rsid w:val="00A660FA"/>
    <w:rsid w:val="00A66DBC"/>
    <w:rsid w:val="00A66E64"/>
    <w:rsid w:val="00A72F52"/>
    <w:rsid w:val="00A75C7E"/>
    <w:rsid w:val="00A8351F"/>
    <w:rsid w:val="00A8791E"/>
    <w:rsid w:val="00A9194B"/>
    <w:rsid w:val="00A923E2"/>
    <w:rsid w:val="00A94F83"/>
    <w:rsid w:val="00AA4A74"/>
    <w:rsid w:val="00AC2024"/>
    <w:rsid w:val="00AC3790"/>
    <w:rsid w:val="00AD0030"/>
    <w:rsid w:val="00AD395F"/>
    <w:rsid w:val="00AD3F58"/>
    <w:rsid w:val="00AD53FF"/>
    <w:rsid w:val="00AD68E5"/>
    <w:rsid w:val="00AD6C9E"/>
    <w:rsid w:val="00AE062A"/>
    <w:rsid w:val="00AE3822"/>
    <w:rsid w:val="00AF0871"/>
    <w:rsid w:val="00AF151B"/>
    <w:rsid w:val="00AF2884"/>
    <w:rsid w:val="00AF3C42"/>
    <w:rsid w:val="00B030EF"/>
    <w:rsid w:val="00B06D18"/>
    <w:rsid w:val="00B157C1"/>
    <w:rsid w:val="00B21320"/>
    <w:rsid w:val="00B2474B"/>
    <w:rsid w:val="00B24ED2"/>
    <w:rsid w:val="00B25DF5"/>
    <w:rsid w:val="00B321E5"/>
    <w:rsid w:val="00B32D52"/>
    <w:rsid w:val="00B373DB"/>
    <w:rsid w:val="00B41E35"/>
    <w:rsid w:val="00B43BD8"/>
    <w:rsid w:val="00B446C8"/>
    <w:rsid w:val="00B4635A"/>
    <w:rsid w:val="00B51B4D"/>
    <w:rsid w:val="00B553BB"/>
    <w:rsid w:val="00B62151"/>
    <w:rsid w:val="00B63C2B"/>
    <w:rsid w:val="00B66E17"/>
    <w:rsid w:val="00B7072B"/>
    <w:rsid w:val="00B716A2"/>
    <w:rsid w:val="00B73048"/>
    <w:rsid w:val="00B83D87"/>
    <w:rsid w:val="00B84F56"/>
    <w:rsid w:val="00B935A4"/>
    <w:rsid w:val="00BA68E2"/>
    <w:rsid w:val="00BB2BE9"/>
    <w:rsid w:val="00BB5CCE"/>
    <w:rsid w:val="00BB78DE"/>
    <w:rsid w:val="00BC3068"/>
    <w:rsid w:val="00BC328A"/>
    <w:rsid w:val="00BC3ADD"/>
    <w:rsid w:val="00BC66E4"/>
    <w:rsid w:val="00BC6C95"/>
    <w:rsid w:val="00BD1883"/>
    <w:rsid w:val="00BD3AD4"/>
    <w:rsid w:val="00BD3FAB"/>
    <w:rsid w:val="00BD4EB2"/>
    <w:rsid w:val="00BE2E47"/>
    <w:rsid w:val="00BE47A4"/>
    <w:rsid w:val="00BF3BDA"/>
    <w:rsid w:val="00BF4561"/>
    <w:rsid w:val="00BF5441"/>
    <w:rsid w:val="00BF5A4B"/>
    <w:rsid w:val="00BF5E5E"/>
    <w:rsid w:val="00BF7116"/>
    <w:rsid w:val="00C017DD"/>
    <w:rsid w:val="00C10749"/>
    <w:rsid w:val="00C142EB"/>
    <w:rsid w:val="00C21238"/>
    <w:rsid w:val="00C2318F"/>
    <w:rsid w:val="00C25929"/>
    <w:rsid w:val="00C262D3"/>
    <w:rsid w:val="00C305A5"/>
    <w:rsid w:val="00C43EF5"/>
    <w:rsid w:val="00C45B62"/>
    <w:rsid w:val="00C51745"/>
    <w:rsid w:val="00C52D22"/>
    <w:rsid w:val="00C54212"/>
    <w:rsid w:val="00C616CA"/>
    <w:rsid w:val="00C64836"/>
    <w:rsid w:val="00C70428"/>
    <w:rsid w:val="00C706A5"/>
    <w:rsid w:val="00C71794"/>
    <w:rsid w:val="00C719A4"/>
    <w:rsid w:val="00C7312A"/>
    <w:rsid w:val="00C73780"/>
    <w:rsid w:val="00C75A83"/>
    <w:rsid w:val="00C76C23"/>
    <w:rsid w:val="00C86E5C"/>
    <w:rsid w:val="00C94716"/>
    <w:rsid w:val="00CA6F4C"/>
    <w:rsid w:val="00CB133B"/>
    <w:rsid w:val="00CB1FEF"/>
    <w:rsid w:val="00CB569F"/>
    <w:rsid w:val="00CC2C64"/>
    <w:rsid w:val="00CD22CE"/>
    <w:rsid w:val="00CD4716"/>
    <w:rsid w:val="00CD57D1"/>
    <w:rsid w:val="00CD6BFB"/>
    <w:rsid w:val="00CE2C84"/>
    <w:rsid w:val="00CE4632"/>
    <w:rsid w:val="00CF1E44"/>
    <w:rsid w:val="00CF2C61"/>
    <w:rsid w:val="00CF3B44"/>
    <w:rsid w:val="00D01756"/>
    <w:rsid w:val="00D043A1"/>
    <w:rsid w:val="00D06A1E"/>
    <w:rsid w:val="00D11B38"/>
    <w:rsid w:val="00D13423"/>
    <w:rsid w:val="00D14C1D"/>
    <w:rsid w:val="00D16911"/>
    <w:rsid w:val="00D16ADF"/>
    <w:rsid w:val="00D241F3"/>
    <w:rsid w:val="00D2511A"/>
    <w:rsid w:val="00D25EA2"/>
    <w:rsid w:val="00D31B37"/>
    <w:rsid w:val="00D328B0"/>
    <w:rsid w:val="00D32A21"/>
    <w:rsid w:val="00D35B0E"/>
    <w:rsid w:val="00D511F8"/>
    <w:rsid w:val="00D6039A"/>
    <w:rsid w:val="00D60540"/>
    <w:rsid w:val="00D6345C"/>
    <w:rsid w:val="00D64B9E"/>
    <w:rsid w:val="00D70748"/>
    <w:rsid w:val="00D73620"/>
    <w:rsid w:val="00D76E05"/>
    <w:rsid w:val="00D80A44"/>
    <w:rsid w:val="00D86177"/>
    <w:rsid w:val="00D92225"/>
    <w:rsid w:val="00D976CA"/>
    <w:rsid w:val="00D97AA4"/>
    <w:rsid w:val="00DA2C22"/>
    <w:rsid w:val="00DA4773"/>
    <w:rsid w:val="00DA5E41"/>
    <w:rsid w:val="00DB1D8A"/>
    <w:rsid w:val="00DB579C"/>
    <w:rsid w:val="00DB7E11"/>
    <w:rsid w:val="00DC14FB"/>
    <w:rsid w:val="00DC6D24"/>
    <w:rsid w:val="00DD2288"/>
    <w:rsid w:val="00DD419D"/>
    <w:rsid w:val="00DE0A53"/>
    <w:rsid w:val="00DE0D4D"/>
    <w:rsid w:val="00DE17CD"/>
    <w:rsid w:val="00DF5EBF"/>
    <w:rsid w:val="00E009BC"/>
    <w:rsid w:val="00E01A0D"/>
    <w:rsid w:val="00E022E6"/>
    <w:rsid w:val="00E024D9"/>
    <w:rsid w:val="00E02764"/>
    <w:rsid w:val="00E06802"/>
    <w:rsid w:val="00E072D2"/>
    <w:rsid w:val="00E13ECC"/>
    <w:rsid w:val="00E15F4B"/>
    <w:rsid w:val="00E241A2"/>
    <w:rsid w:val="00E26C02"/>
    <w:rsid w:val="00E32146"/>
    <w:rsid w:val="00E37945"/>
    <w:rsid w:val="00E418E0"/>
    <w:rsid w:val="00E46D58"/>
    <w:rsid w:val="00E47C30"/>
    <w:rsid w:val="00E545A5"/>
    <w:rsid w:val="00E71843"/>
    <w:rsid w:val="00E71C0C"/>
    <w:rsid w:val="00E72564"/>
    <w:rsid w:val="00E771E3"/>
    <w:rsid w:val="00E80AAF"/>
    <w:rsid w:val="00E81139"/>
    <w:rsid w:val="00E81224"/>
    <w:rsid w:val="00E81354"/>
    <w:rsid w:val="00E82782"/>
    <w:rsid w:val="00E851E6"/>
    <w:rsid w:val="00E87733"/>
    <w:rsid w:val="00E9301E"/>
    <w:rsid w:val="00EA0DBA"/>
    <w:rsid w:val="00EA3CB1"/>
    <w:rsid w:val="00EA62C9"/>
    <w:rsid w:val="00EB12B7"/>
    <w:rsid w:val="00EB1698"/>
    <w:rsid w:val="00EB4370"/>
    <w:rsid w:val="00EB6D6E"/>
    <w:rsid w:val="00EC0648"/>
    <w:rsid w:val="00EC1AF3"/>
    <w:rsid w:val="00EC3532"/>
    <w:rsid w:val="00EC4063"/>
    <w:rsid w:val="00EC665D"/>
    <w:rsid w:val="00ED1696"/>
    <w:rsid w:val="00ED212F"/>
    <w:rsid w:val="00ED3DA5"/>
    <w:rsid w:val="00ED6D36"/>
    <w:rsid w:val="00EE7D49"/>
    <w:rsid w:val="00EF2D2D"/>
    <w:rsid w:val="00EF3B36"/>
    <w:rsid w:val="00EF555B"/>
    <w:rsid w:val="00EF781A"/>
    <w:rsid w:val="00F0003E"/>
    <w:rsid w:val="00F15AA2"/>
    <w:rsid w:val="00F22724"/>
    <w:rsid w:val="00F27985"/>
    <w:rsid w:val="00F30C62"/>
    <w:rsid w:val="00F323CB"/>
    <w:rsid w:val="00F36844"/>
    <w:rsid w:val="00F41610"/>
    <w:rsid w:val="00F41AF9"/>
    <w:rsid w:val="00F426B9"/>
    <w:rsid w:val="00F44448"/>
    <w:rsid w:val="00F44984"/>
    <w:rsid w:val="00F46D4F"/>
    <w:rsid w:val="00F50464"/>
    <w:rsid w:val="00F513A9"/>
    <w:rsid w:val="00F51B79"/>
    <w:rsid w:val="00F52A50"/>
    <w:rsid w:val="00F53CF6"/>
    <w:rsid w:val="00F75AEC"/>
    <w:rsid w:val="00F82544"/>
    <w:rsid w:val="00F83D9C"/>
    <w:rsid w:val="00F84718"/>
    <w:rsid w:val="00F87460"/>
    <w:rsid w:val="00F90CFF"/>
    <w:rsid w:val="00F91BF9"/>
    <w:rsid w:val="00F97F2A"/>
    <w:rsid w:val="00FA0AC0"/>
    <w:rsid w:val="00FA5099"/>
    <w:rsid w:val="00FA6729"/>
    <w:rsid w:val="00FB0590"/>
    <w:rsid w:val="00FB5212"/>
    <w:rsid w:val="00FB729E"/>
    <w:rsid w:val="00FC387E"/>
    <w:rsid w:val="00FC7F2C"/>
    <w:rsid w:val="00FD0189"/>
    <w:rsid w:val="00FD6971"/>
    <w:rsid w:val="00FE497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EB101"/>
  <w15:docId w15:val="{058C83A6-44B5-AF4A-B31A-E4F843F60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09E"/>
    <w:pPr>
      <w:spacing w:before="240"/>
    </w:pPr>
    <w:rPr>
      <w:rFonts w:ascii="Georgia" w:hAnsi="Georgia"/>
      <w:sz w:val="24"/>
      <w:szCs w:val="24"/>
    </w:rPr>
  </w:style>
  <w:style w:type="paragraph" w:styleId="Heading1">
    <w:name w:val="heading 1"/>
    <w:basedOn w:val="BodyText"/>
    <w:next w:val="BodyText"/>
    <w:link w:val="Heading1Char"/>
    <w:uiPriority w:val="9"/>
    <w:qFormat/>
    <w:rsid w:val="001C5592"/>
    <w:pPr>
      <w:numPr>
        <w:ilvl w:val="1"/>
        <w:numId w:val="38"/>
      </w:numPr>
      <w:tabs>
        <w:tab w:val="left" w:pos="907"/>
        <w:tab w:val="left" w:pos="1644"/>
        <w:tab w:val="left" w:pos="2381"/>
        <w:tab w:val="left" w:pos="3119"/>
        <w:tab w:val="left" w:pos="3856"/>
        <w:tab w:val="left" w:pos="4593"/>
        <w:tab w:val="left" w:pos="5330"/>
        <w:tab w:val="left" w:pos="6067"/>
      </w:tabs>
      <w:outlineLvl w:val="0"/>
    </w:pPr>
    <w:rPr>
      <w:rFonts w:eastAsia="Tahoma" w:cs="Tahoma"/>
      <w:lang w:eastAsia="en-US"/>
    </w:rPr>
  </w:style>
  <w:style w:type="paragraph" w:styleId="Heading2">
    <w:name w:val="heading 2"/>
    <w:basedOn w:val="BodyText"/>
    <w:next w:val="BodyText"/>
    <w:link w:val="Heading2Char"/>
    <w:uiPriority w:val="9"/>
    <w:qFormat/>
    <w:locked/>
    <w:rsid w:val="00646C38"/>
    <w:pPr>
      <w:numPr>
        <w:ilvl w:val="2"/>
        <w:numId w:val="38"/>
      </w:numPr>
      <w:tabs>
        <w:tab w:val="left" w:pos="907"/>
        <w:tab w:val="left" w:pos="1644"/>
        <w:tab w:val="left" w:pos="2381"/>
        <w:tab w:val="left" w:pos="3119"/>
        <w:tab w:val="left" w:pos="3856"/>
        <w:tab w:val="left" w:pos="4593"/>
        <w:tab w:val="left" w:pos="5330"/>
        <w:tab w:val="left" w:pos="6067"/>
      </w:tabs>
      <w:outlineLvl w:val="1"/>
    </w:pPr>
    <w:rPr>
      <w:rFonts w:eastAsia="Tahoma" w:cs="Tahoma"/>
      <w:lang w:eastAsia="en-US"/>
    </w:rPr>
  </w:style>
  <w:style w:type="paragraph" w:styleId="Heading3">
    <w:name w:val="heading 3"/>
    <w:basedOn w:val="BodyText"/>
    <w:next w:val="BodyText"/>
    <w:link w:val="Heading3Char"/>
    <w:uiPriority w:val="9"/>
    <w:qFormat/>
    <w:locked/>
    <w:rsid w:val="00126040"/>
    <w:pPr>
      <w:numPr>
        <w:ilvl w:val="3"/>
        <w:numId w:val="38"/>
      </w:numPr>
      <w:tabs>
        <w:tab w:val="left" w:pos="907"/>
        <w:tab w:val="left" w:pos="1644"/>
        <w:tab w:val="left" w:pos="2381"/>
        <w:tab w:val="left" w:pos="3119"/>
        <w:tab w:val="left" w:pos="3856"/>
        <w:tab w:val="left" w:pos="4593"/>
        <w:tab w:val="left" w:pos="5330"/>
        <w:tab w:val="left" w:pos="6067"/>
      </w:tabs>
      <w:outlineLvl w:val="2"/>
    </w:pPr>
    <w:rPr>
      <w:rFonts w:ascii="Tahoma" w:eastAsia="Tahoma" w:hAnsi="Tahoma" w:cs="Tahoma"/>
      <w:sz w:val="20"/>
      <w:szCs w:val="20"/>
      <w:lang w:eastAsia="en-US"/>
    </w:rPr>
  </w:style>
  <w:style w:type="paragraph" w:styleId="Heading4">
    <w:name w:val="heading 4"/>
    <w:basedOn w:val="BodyText"/>
    <w:next w:val="BodyText"/>
    <w:link w:val="Heading4Char"/>
    <w:uiPriority w:val="9"/>
    <w:qFormat/>
    <w:locked/>
    <w:rsid w:val="00126040"/>
    <w:pPr>
      <w:numPr>
        <w:ilvl w:val="5"/>
        <w:numId w:val="38"/>
      </w:numPr>
      <w:tabs>
        <w:tab w:val="left" w:pos="1644"/>
        <w:tab w:val="left" w:pos="2381"/>
        <w:tab w:val="left" w:pos="3119"/>
        <w:tab w:val="left" w:pos="3856"/>
        <w:tab w:val="left" w:pos="4593"/>
        <w:tab w:val="left" w:pos="5330"/>
        <w:tab w:val="left" w:pos="6067"/>
      </w:tabs>
      <w:outlineLvl w:val="3"/>
    </w:pPr>
    <w:rPr>
      <w:rFonts w:ascii="Tahoma" w:eastAsia="Tahoma" w:hAnsi="Tahoma" w:cs="Tahoma"/>
      <w:sz w:val="20"/>
      <w:szCs w:val="20"/>
      <w:lang w:eastAsia="en-US"/>
    </w:rPr>
  </w:style>
  <w:style w:type="paragraph" w:styleId="Heading5">
    <w:name w:val="heading 5"/>
    <w:basedOn w:val="BodyText"/>
    <w:next w:val="BodyText"/>
    <w:link w:val="Heading5Char"/>
    <w:uiPriority w:val="9"/>
    <w:qFormat/>
    <w:locked/>
    <w:rsid w:val="00126040"/>
    <w:pPr>
      <w:numPr>
        <w:ilvl w:val="6"/>
        <w:numId w:val="38"/>
      </w:numPr>
      <w:tabs>
        <w:tab w:val="left" w:pos="2381"/>
        <w:tab w:val="left" w:pos="3119"/>
        <w:tab w:val="left" w:pos="3856"/>
        <w:tab w:val="left" w:pos="4593"/>
        <w:tab w:val="left" w:pos="5330"/>
        <w:tab w:val="left" w:pos="6067"/>
      </w:tabs>
      <w:outlineLvl w:val="4"/>
    </w:pPr>
    <w:rPr>
      <w:rFonts w:ascii="Tahoma" w:eastAsiaTheme="minorHAnsi" w:hAnsi="Tahoma" w:cs="Tahoma"/>
      <w:sz w:val="20"/>
      <w:szCs w:val="20"/>
      <w:lang w:eastAsia="en-US"/>
    </w:rPr>
  </w:style>
  <w:style w:type="paragraph" w:styleId="Heading6">
    <w:name w:val="heading 6"/>
    <w:basedOn w:val="BodyText"/>
    <w:next w:val="BodyText"/>
    <w:link w:val="Heading6Char"/>
    <w:uiPriority w:val="9"/>
    <w:locked/>
    <w:rsid w:val="00126040"/>
    <w:pPr>
      <w:numPr>
        <w:ilvl w:val="7"/>
        <w:numId w:val="38"/>
      </w:numPr>
      <w:tabs>
        <w:tab w:val="left" w:pos="3119"/>
        <w:tab w:val="left" w:pos="3856"/>
        <w:tab w:val="left" w:pos="4593"/>
        <w:tab w:val="left" w:pos="5330"/>
        <w:tab w:val="left" w:pos="6067"/>
      </w:tabs>
      <w:outlineLvl w:val="5"/>
    </w:pPr>
    <w:rPr>
      <w:rFonts w:ascii="Tahoma" w:eastAsia="Tahoma" w:hAnsi="Tahoma" w:cs="Tahoma"/>
      <w:sz w:val="20"/>
      <w:szCs w:val="20"/>
      <w:lang w:eastAsia="en-US"/>
    </w:rPr>
  </w:style>
  <w:style w:type="paragraph" w:styleId="Heading7">
    <w:name w:val="heading 7"/>
    <w:basedOn w:val="BodyText"/>
    <w:next w:val="BodyText"/>
    <w:link w:val="Heading7Char"/>
    <w:uiPriority w:val="9"/>
    <w:locked/>
    <w:rsid w:val="00126040"/>
    <w:pPr>
      <w:numPr>
        <w:ilvl w:val="8"/>
        <w:numId w:val="38"/>
      </w:numPr>
      <w:tabs>
        <w:tab w:val="left" w:pos="3856"/>
        <w:tab w:val="left" w:pos="4593"/>
        <w:tab w:val="left" w:pos="5330"/>
        <w:tab w:val="left" w:pos="6067"/>
      </w:tabs>
      <w:outlineLvl w:val="6"/>
    </w:pPr>
    <w:rPr>
      <w:rFonts w:ascii="Tahoma" w:eastAsia="Tahoma" w:hAnsi="Tahoma" w:cs="Tahoma"/>
      <w:sz w:val="20"/>
      <w:szCs w:val="20"/>
      <w:lang w:eastAsia="en-US"/>
    </w:rPr>
  </w:style>
  <w:style w:type="paragraph" w:styleId="Heading8">
    <w:name w:val="heading 8"/>
    <w:basedOn w:val="BodyText"/>
    <w:next w:val="BodyText"/>
    <w:link w:val="Heading8Char"/>
    <w:uiPriority w:val="9"/>
    <w:locked/>
    <w:rsid w:val="00126040"/>
    <w:pPr>
      <w:numPr>
        <w:numId w:val="37"/>
      </w:numPr>
      <w:tabs>
        <w:tab w:val="left" w:pos="907"/>
        <w:tab w:val="left" w:pos="1644"/>
        <w:tab w:val="left" w:pos="2381"/>
        <w:tab w:val="left" w:pos="3119"/>
        <w:tab w:val="left" w:pos="4593"/>
        <w:tab w:val="left" w:pos="5330"/>
        <w:tab w:val="left" w:pos="6067"/>
      </w:tabs>
      <w:outlineLvl w:val="7"/>
    </w:pPr>
    <w:rPr>
      <w:rFonts w:ascii="Tahoma" w:eastAsia="Tahoma" w:hAnsi="Tahoma" w:cs="Tahoma"/>
      <w:sz w:val="20"/>
      <w:szCs w:val="20"/>
      <w:lang w:eastAsia="en-US"/>
    </w:rPr>
  </w:style>
  <w:style w:type="paragraph" w:styleId="Heading9">
    <w:name w:val="heading 9"/>
    <w:basedOn w:val="BodyText"/>
    <w:next w:val="BodyText"/>
    <w:link w:val="Heading9Char"/>
    <w:uiPriority w:val="9"/>
    <w:locked/>
    <w:rsid w:val="00126040"/>
    <w:pPr>
      <w:numPr>
        <w:ilvl w:val="1"/>
        <w:numId w:val="37"/>
      </w:numPr>
      <w:tabs>
        <w:tab w:val="left" w:pos="907"/>
        <w:tab w:val="left" w:pos="1644"/>
        <w:tab w:val="left" w:pos="2381"/>
        <w:tab w:val="left" w:pos="3119"/>
        <w:tab w:val="left" w:pos="3856"/>
        <w:tab w:val="left" w:pos="4593"/>
        <w:tab w:val="left" w:pos="5330"/>
        <w:tab w:val="left" w:pos="6067"/>
      </w:tabs>
      <w:outlineLvl w:val="8"/>
    </w:pPr>
    <w:rPr>
      <w:rFonts w:ascii="Tahoma" w:eastAsia="Tahoma" w:hAnsi="Tahoma" w:cs="Tahoma"/>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592"/>
    <w:rPr>
      <w:rFonts w:ascii="Georgia" w:eastAsia="Tahoma" w:hAnsi="Georgia" w:cs="Tahoma"/>
      <w:sz w:val="24"/>
      <w:szCs w:val="24"/>
      <w:lang w:eastAsia="en-US"/>
    </w:rPr>
  </w:style>
  <w:style w:type="character" w:customStyle="1" w:styleId="TitleChar">
    <w:name w:val="Title Char"/>
    <w:link w:val="Title"/>
    <w:uiPriority w:val="10"/>
    <w:qFormat/>
    <w:rsid w:val="009D31C1"/>
    <w:rPr>
      <w:rFonts w:ascii="Cambria" w:eastAsia="Times New Roman" w:hAnsi="Cambria" w:cs="Times New Roman"/>
      <w:b/>
      <w:bCs/>
      <w:kern w:val="2"/>
      <w:sz w:val="32"/>
      <w:szCs w:val="32"/>
    </w:rPr>
  </w:style>
  <w:style w:type="character" w:customStyle="1" w:styleId="FooterChar">
    <w:name w:val="Footer Char"/>
    <w:link w:val="Footer"/>
    <w:uiPriority w:val="99"/>
    <w:semiHidden/>
    <w:qFormat/>
    <w:rsid w:val="009D31C1"/>
    <w:rPr>
      <w:sz w:val="24"/>
      <w:szCs w:val="24"/>
    </w:rPr>
  </w:style>
  <w:style w:type="character" w:customStyle="1" w:styleId="HeaderChar">
    <w:name w:val="Header Char"/>
    <w:link w:val="Header"/>
    <w:uiPriority w:val="99"/>
    <w:qFormat/>
    <w:rsid w:val="009D31C1"/>
    <w:rPr>
      <w:sz w:val="24"/>
      <w:szCs w:val="24"/>
    </w:rPr>
  </w:style>
  <w:style w:type="character" w:styleId="PageNumber">
    <w:name w:val="page number"/>
    <w:basedOn w:val="DefaultParagraphFont"/>
    <w:uiPriority w:val="99"/>
    <w:qFormat/>
    <w:rsid w:val="00D43EAA"/>
  </w:style>
  <w:style w:type="character" w:customStyle="1" w:styleId="legdslegp1no">
    <w:name w:val="legds legp1no"/>
    <w:basedOn w:val="DefaultParagraphFont"/>
    <w:uiPriority w:val="99"/>
    <w:qFormat/>
    <w:rsid w:val="00E77B40"/>
  </w:style>
  <w:style w:type="character" w:customStyle="1" w:styleId="legdslegp1grouptitlefirst">
    <w:name w:val="legds legp1grouptitlefirst"/>
    <w:basedOn w:val="DefaultParagraphFont"/>
    <w:uiPriority w:val="99"/>
    <w:qFormat/>
    <w:rsid w:val="00E77B40"/>
  </w:style>
  <w:style w:type="character" w:customStyle="1" w:styleId="legextentrestriction7">
    <w:name w:val="legextentrestriction7"/>
    <w:uiPriority w:val="99"/>
    <w:qFormat/>
    <w:rsid w:val="00E77B40"/>
    <w:rPr>
      <w:b/>
      <w:bCs/>
      <w:vanish/>
      <w:color w:val="FFFFFF"/>
      <w:sz w:val="22"/>
      <w:szCs w:val="22"/>
      <w:shd w:val="clear" w:color="auto" w:fill="660066"/>
    </w:rPr>
  </w:style>
  <w:style w:type="character" w:customStyle="1" w:styleId="ennote">
    <w:name w:val="ennote"/>
    <w:basedOn w:val="DefaultParagraphFont"/>
    <w:uiPriority w:val="99"/>
    <w:qFormat/>
    <w:rsid w:val="00E77B40"/>
  </w:style>
  <w:style w:type="character" w:customStyle="1" w:styleId="legdsleglhslegp2no">
    <w:name w:val="legds leglhs legp2no"/>
    <w:basedOn w:val="DefaultParagraphFont"/>
    <w:uiPriority w:val="99"/>
    <w:qFormat/>
    <w:rsid w:val="00E77B40"/>
  </w:style>
  <w:style w:type="character" w:customStyle="1" w:styleId="legdslegrhslegp2text">
    <w:name w:val="legds legrhs legp2text"/>
    <w:basedOn w:val="DefaultParagraphFont"/>
    <w:uiPriority w:val="99"/>
    <w:qFormat/>
    <w:rsid w:val="00E77B40"/>
  </w:style>
  <w:style w:type="character" w:customStyle="1" w:styleId="legdsleglhslegp3no">
    <w:name w:val="legds leglhs legp3no"/>
    <w:basedOn w:val="DefaultParagraphFont"/>
    <w:uiPriority w:val="99"/>
    <w:qFormat/>
    <w:rsid w:val="00E77B40"/>
  </w:style>
  <w:style w:type="character" w:customStyle="1" w:styleId="legdslegrhslegp3text">
    <w:name w:val="legds legrhs legp3text"/>
    <w:basedOn w:val="DefaultParagraphFont"/>
    <w:uiPriority w:val="99"/>
    <w:qFormat/>
    <w:rsid w:val="00E77B40"/>
  </w:style>
  <w:style w:type="character" w:customStyle="1" w:styleId="BalloonTextChar">
    <w:name w:val="Balloon Text Char"/>
    <w:link w:val="BalloonText"/>
    <w:uiPriority w:val="99"/>
    <w:semiHidden/>
    <w:qFormat/>
    <w:rsid w:val="00FE25AE"/>
    <w:rPr>
      <w:sz w:val="18"/>
      <w:szCs w:val="18"/>
    </w:rPr>
  </w:style>
  <w:style w:type="paragraph" w:customStyle="1" w:styleId="Heading">
    <w:name w:val="Heading"/>
    <w:basedOn w:val="Normal"/>
    <w:next w:val="BodyText"/>
    <w:qFormat/>
    <w:pPr>
      <w:keepNext/>
      <w:spacing w:after="120"/>
    </w:pPr>
    <w:rPr>
      <w:rFonts w:ascii="Arial" w:eastAsia="Microsoft YaHei" w:hAnsi="Arial" w:cs="Arial"/>
      <w:szCs w:val="28"/>
    </w:rPr>
  </w:style>
  <w:style w:type="paragraph" w:styleId="BodyText">
    <w:name w:val="Body Text"/>
    <w:basedOn w:val="Normal"/>
    <w:rsid w:val="00646C38"/>
    <w:pPr>
      <w:ind w:left="720"/>
      <w:jc w:val="both"/>
    </w:pPr>
  </w:style>
  <w:style w:type="paragraph" w:styleId="List">
    <w:name w:val="List"/>
    <w:basedOn w:val="BodyText"/>
    <w:rPr>
      <w:rFonts w:ascii="Arial" w:hAnsi="Arial" w:cs="Arial"/>
    </w:rPr>
  </w:style>
  <w:style w:type="paragraph" w:styleId="Caption">
    <w:name w:val="caption"/>
    <w:basedOn w:val="Normal"/>
    <w:qFormat/>
    <w:pPr>
      <w:suppressLineNumbers/>
      <w:spacing w:before="120" w:after="120"/>
    </w:pPr>
    <w:rPr>
      <w:rFonts w:ascii="Arial" w:hAnsi="Arial" w:cs="Arial"/>
      <w:i/>
      <w:iCs/>
    </w:rPr>
  </w:style>
  <w:style w:type="paragraph" w:customStyle="1" w:styleId="Index">
    <w:name w:val="Index"/>
    <w:basedOn w:val="Normal"/>
    <w:qFormat/>
    <w:pPr>
      <w:suppressLineNumbers/>
    </w:pPr>
    <w:rPr>
      <w:rFonts w:ascii="Arial" w:hAnsi="Arial" w:cs="Arial"/>
    </w:rPr>
  </w:style>
  <w:style w:type="paragraph" w:styleId="Title">
    <w:name w:val="Title"/>
    <w:basedOn w:val="Normal"/>
    <w:link w:val="TitleChar"/>
    <w:uiPriority w:val="99"/>
    <w:qFormat/>
    <w:rsid w:val="00D43EAA"/>
    <w:pPr>
      <w:jc w:val="center"/>
    </w:pPr>
    <w:rPr>
      <w:rFonts w:ascii="Arial" w:hAnsi="Arial" w:cs="Arial"/>
      <w:b/>
      <w:bCs/>
      <w:sz w:val="32"/>
      <w:szCs w:val="32"/>
      <w:lang w:eastAsia="en-US"/>
    </w:rPr>
  </w:style>
  <w:style w:type="paragraph" w:customStyle="1" w:styleId="HeaderandFooter">
    <w:name w:val="Header and Footer"/>
    <w:basedOn w:val="Normal"/>
    <w:qFormat/>
  </w:style>
  <w:style w:type="paragraph" w:styleId="Footer">
    <w:name w:val="footer"/>
    <w:basedOn w:val="Normal"/>
    <w:link w:val="FooterChar"/>
    <w:uiPriority w:val="99"/>
    <w:rsid w:val="00D43EAA"/>
    <w:pPr>
      <w:tabs>
        <w:tab w:val="center" w:pos="4153"/>
        <w:tab w:val="right" w:pos="8306"/>
      </w:tabs>
    </w:pPr>
    <w:rPr>
      <w:spacing w:val="-3"/>
      <w:lang w:eastAsia="en-US"/>
    </w:rPr>
  </w:style>
  <w:style w:type="paragraph" w:styleId="Header">
    <w:name w:val="header"/>
    <w:basedOn w:val="Normal"/>
    <w:link w:val="HeaderChar"/>
    <w:uiPriority w:val="99"/>
    <w:rsid w:val="00D43EAA"/>
    <w:pPr>
      <w:tabs>
        <w:tab w:val="center" w:pos="4153"/>
        <w:tab w:val="right" w:pos="8306"/>
      </w:tabs>
    </w:pPr>
  </w:style>
  <w:style w:type="paragraph" w:styleId="BalloonText">
    <w:name w:val="Balloon Text"/>
    <w:basedOn w:val="Normal"/>
    <w:link w:val="BalloonTextChar"/>
    <w:uiPriority w:val="99"/>
    <w:semiHidden/>
    <w:unhideWhenUsed/>
    <w:qFormat/>
    <w:rsid w:val="00FE25AE"/>
    <w:rPr>
      <w:sz w:val="18"/>
      <w:szCs w:val="18"/>
    </w:rPr>
  </w:style>
  <w:style w:type="paragraph" w:styleId="Revision">
    <w:name w:val="Revision"/>
    <w:uiPriority w:val="99"/>
    <w:semiHidden/>
    <w:qFormat/>
    <w:rsid w:val="002074B5"/>
    <w:rPr>
      <w:sz w:val="24"/>
      <w:szCs w:val="24"/>
    </w:rPr>
  </w:style>
  <w:style w:type="paragraph" w:styleId="ListParagraph">
    <w:name w:val="List Paragraph"/>
    <w:basedOn w:val="Normal"/>
    <w:uiPriority w:val="34"/>
    <w:qFormat/>
    <w:rsid w:val="00FD264D"/>
    <w:pPr>
      <w:ind w:left="720"/>
      <w:contextualSpacing/>
    </w:pPr>
  </w:style>
  <w:style w:type="paragraph" w:styleId="NormalWeb">
    <w:name w:val="Normal (Web)"/>
    <w:basedOn w:val="Normal"/>
    <w:uiPriority w:val="99"/>
    <w:unhideWhenUsed/>
    <w:qFormat/>
    <w:rsid w:val="009A16EA"/>
    <w:pPr>
      <w:spacing w:beforeAutospacing="1" w:afterAutospacing="1"/>
    </w:pPr>
  </w:style>
  <w:style w:type="table" w:styleId="TableGrid">
    <w:name w:val="Table Grid"/>
    <w:basedOn w:val="TableNormal"/>
    <w:uiPriority w:val="99"/>
    <w:rsid w:val="00724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26040"/>
    <w:rPr>
      <w:rFonts w:ascii="Tahoma" w:eastAsiaTheme="minorHAnsi" w:hAnsi="Tahoma" w:cs="Tahoma"/>
      <w:lang w:eastAsia="en-US"/>
    </w:rPr>
  </w:style>
  <w:style w:type="character" w:customStyle="1" w:styleId="legds">
    <w:name w:val="legds"/>
    <w:basedOn w:val="DefaultParagraphFont"/>
    <w:rsid w:val="00F51B79"/>
  </w:style>
  <w:style w:type="paragraph" w:customStyle="1" w:styleId="legclearfix">
    <w:name w:val="legclearfix"/>
    <w:basedOn w:val="Normal"/>
    <w:rsid w:val="00F51B79"/>
    <w:pPr>
      <w:suppressAutoHyphens w:val="0"/>
      <w:spacing w:before="100" w:beforeAutospacing="1" w:after="100" w:afterAutospacing="1"/>
    </w:pPr>
  </w:style>
  <w:style w:type="paragraph" w:customStyle="1" w:styleId="legrhs">
    <w:name w:val="legrhs"/>
    <w:basedOn w:val="Normal"/>
    <w:rsid w:val="00F51B79"/>
    <w:pPr>
      <w:suppressAutoHyphens w:val="0"/>
      <w:spacing w:before="100" w:beforeAutospacing="1" w:after="100" w:afterAutospacing="1"/>
    </w:pPr>
  </w:style>
  <w:style w:type="character" w:customStyle="1" w:styleId="legterm">
    <w:name w:val="legterm"/>
    <w:basedOn w:val="DefaultParagraphFont"/>
    <w:rsid w:val="00F51B79"/>
  </w:style>
  <w:style w:type="character" w:styleId="Hyperlink">
    <w:name w:val="Hyperlink"/>
    <w:basedOn w:val="DefaultParagraphFont"/>
    <w:uiPriority w:val="99"/>
    <w:unhideWhenUsed/>
    <w:rsid w:val="0026684D"/>
    <w:rPr>
      <w:color w:val="0563C1" w:themeColor="hyperlink"/>
      <w:u w:val="single"/>
    </w:rPr>
  </w:style>
  <w:style w:type="character" w:customStyle="1" w:styleId="UnresolvedMention1">
    <w:name w:val="Unresolved Mention1"/>
    <w:basedOn w:val="DefaultParagraphFont"/>
    <w:uiPriority w:val="99"/>
    <w:semiHidden/>
    <w:unhideWhenUsed/>
    <w:rsid w:val="0026684D"/>
    <w:rPr>
      <w:color w:val="605E5C"/>
      <w:shd w:val="clear" w:color="auto" w:fill="E1DFDD"/>
    </w:rPr>
  </w:style>
  <w:style w:type="paragraph" w:customStyle="1" w:styleId="Heading0">
    <w:name w:val="Heading 0"/>
    <w:basedOn w:val="BodyText"/>
    <w:next w:val="BodyText"/>
    <w:link w:val="Heading0Char"/>
    <w:uiPriority w:val="9"/>
    <w:rsid w:val="00126040"/>
    <w:pPr>
      <w:numPr>
        <w:numId w:val="38"/>
      </w:numPr>
      <w:tabs>
        <w:tab w:val="left" w:pos="907"/>
        <w:tab w:val="left" w:pos="1644"/>
        <w:tab w:val="left" w:pos="2381"/>
        <w:tab w:val="left" w:pos="3119"/>
        <w:tab w:val="left" w:pos="3856"/>
        <w:tab w:val="left" w:pos="4593"/>
        <w:tab w:val="left" w:pos="5330"/>
        <w:tab w:val="left" w:pos="6067"/>
      </w:tabs>
    </w:pPr>
    <w:rPr>
      <w:rFonts w:ascii="Tahoma" w:eastAsiaTheme="minorHAnsi" w:hAnsi="Tahoma" w:cs="Tahoma"/>
      <w:vanish/>
      <w:color w:val="FF0000"/>
      <w:sz w:val="20"/>
      <w:szCs w:val="20"/>
      <w:lang w:eastAsia="en-US"/>
    </w:rPr>
  </w:style>
  <w:style w:type="character" w:customStyle="1" w:styleId="Heading0Char">
    <w:name w:val="Heading 0 Char"/>
    <w:link w:val="Heading0"/>
    <w:uiPriority w:val="9"/>
    <w:rsid w:val="00126040"/>
    <w:rPr>
      <w:rFonts w:ascii="Tahoma" w:eastAsiaTheme="minorHAnsi" w:hAnsi="Tahoma" w:cs="Tahoma"/>
      <w:vanish/>
      <w:color w:val="FF0000"/>
      <w:lang w:eastAsia="en-US"/>
    </w:rPr>
  </w:style>
  <w:style w:type="paragraph" w:customStyle="1" w:styleId="Heading1Plain">
    <w:name w:val="Heading 1 Plain"/>
    <w:basedOn w:val="Heading1"/>
    <w:next w:val="BodyText"/>
    <w:link w:val="Heading1PlainChar"/>
    <w:uiPriority w:val="10"/>
    <w:qFormat/>
    <w:rsid w:val="00126040"/>
    <w:rPr>
      <w:b/>
      <w:caps/>
    </w:rPr>
  </w:style>
  <w:style w:type="character" w:customStyle="1" w:styleId="Heading1PlainChar">
    <w:name w:val="Heading 1 Plain Char"/>
    <w:basedOn w:val="Heading1Char"/>
    <w:link w:val="Heading1Plain"/>
    <w:uiPriority w:val="10"/>
    <w:rsid w:val="00126040"/>
    <w:rPr>
      <w:rFonts w:ascii="Georgia" w:eastAsia="Tahoma" w:hAnsi="Georgia" w:cs="Tahoma"/>
      <w:b/>
      <w:caps/>
      <w:sz w:val="24"/>
      <w:szCs w:val="24"/>
      <w:lang w:eastAsia="en-US"/>
    </w:rPr>
  </w:style>
  <w:style w:type="character" w:customStyle="1" w:styleId="Heading2Char">
    <w:name w:val="Heading 2 Char"/>
    <w:basedOn w:val="DefaultParagraphFont"/>
    <w:link w:val="Heading2"/>
    <w:uiPriority w:val="9"/>
    <w:rsid w:val="00646C38"/>
    <w:rPr>
      <w:rFonts w:ascii="Georgia" w:eastAsia="Tahoma" w:hAnsi="Georgia" w:cs="Tahoma"/>
      <w:sz w:val="24"/>
      <w:szCs w:val="24"/>
      <w:lang w:eastAsia="en-US"/>
    </w:rPr>
  </w:style>
  <w:style w:type="paragraph" w:customStyle="1" w:styleId="Heading2Plain">
    <w:name w:val="Heading 2 Plain"/>
    <w:basedOn w:val="Heading2"/>
    <w:next w:val="BodyText"/>
    <w:link w:val="Heading2PlainChar"/>
    <w:uiPriority w:val="10"/>
    <w:qFormat/>
    <w:rsid w:val="00126040"/>
    <w:rPr>
      <w:b/>
    </w:rPr>
  </w:style>
  <w:style w:type="character" w:customStyle="1" w:styleId="Heading2PlainChar">
    <w:name w:val="Heading 2 Plain Char"/>
    <w:basedOn w:val="Heading2Char"/>
    <w:link w:val="Heading2Plain"/>
    <w:uiPriority w:val="10"/>
    <w:rsid w:val="00126040"/>
    <w:rPr>
      <w:rFonts w:ascii="Georgia" w:eastAsia="Tahoma" w:hAnsi="Georgia" w:cs="Tahoma"/>
      <w:b/>
      <w:sz w:val="24"/>
      <w:szCs w:val="24"/>
      <w:lang w:eastAsia="en-US"/>
    </w:rPr>
  </w:style>
  <w:style w:type="character" w:customStyle="1" w:styleId="Heading3Char">
    <w:name w:val="Heading 3 Char"/>
    <w:basedOn w:val="DefaultParagraphFont"/>
    <w:link w:val="Heading3"/>
    <w:uiPriority w:val="9"/>
    <w:rsid w:val="00126040"/>
    <w:rPr>
      <w:rFonts w:ascii="Tahoma" w:eastAsia="Tahoma" w:hAnsi="Tahoma" w:cs="Tahoma"/>
      <w:lang w:eastAsia="en-US"/>
    </w:rPr>
  </w:style>
  <w:style w:type="character" w:customStyle="1" w:styleId="Heading4Char">
    <w:name w:val="Heading 4 Char"/>
    <w:basedOn w:val="DefaultParagraphFont"/>
    <w:link w:val="Heading4"/>
    <w:uiPriority w:val="9"/>
    <w:rsid w:val="00126040"/>
    <w:rPr>
      <w:rFonts w:ascii="Tahoma" w:eastAsia="Tahoma" w:hAnsi="Tahoma" w:cs="Tahoma"/>
      <w:lang w:eastAsia="en-US"/>
    </w:rPr>
  </w:style>
  <w:style w:type="character" w:customStyle="1" w:styleId="Heading6Char">
    <w:name w:val="Heading 6 Char"/>
    <w:basedOn w:val="DefaultParagraphFont"/>
    <w:link w:val="Heading6"/>
    <w:uiPriority w:val="9"/>
    <w:rsid w:val="00126040"/>
    <w:rPr>
      <w:rFonts w:ascii="Tahoma" w:eastAsia="Tahoma" w:hAnsi="Tahoma" w:cs="Tahoma"/>
      <w:lang w:eastAsia="en-US"/>
    </w:rPr>
  </w:style>
  <w:style w:type="character" w:customStyle="1" w:styleId="Heading7Char">
    <w:name w:val="Heading 7 Char"/>
    <w:basedOn w:val="DefaultParagraphFont"/>
    <w:link w:val="Heading7"/>
    <w:uiPriority w:val="9"/>
    <w:rsid w:val="00126040"/>
    <w:rPr>
      <w:rFonts w:ascii="Tahoma" w:eastAsia="Tahoma" w:hAnsi="Tahoma" w:cs="Tahoma"/>
      <w:lang w:eastAsia="en-US"/>
    </w:rPr>
  </w:style>
  <w:style w:type="character" w:customStyle="1" w:styleId="Heading8Char">
    <w:name w:val="Heading 8 Char"/>
    <w:basedOn w:val="DefaultParagraphFont"/>
    <w:link w:val="Heading8"/>
    <w:uiPriority w:val="9"/>
    <w:rsid w:val="00126040"/>
    <w:rPr>
      <w:rFonts w:ascii="Tahoma" w:eastAsia="Tahoma" w:hAnsi="Tahoma" w:cs="Tahoma"/>
      <w:lang w:eastAsia="en-US"/>
    </w:rPr>
  </w:style>
  <w:style w:type="character" w:customStyle="1" w:styleId="Heading9Char">
    <w:name w:val="Heading 9 Char"/>
    <w:basedOn w:val="DefaultParagraphFont"/>
    <w:link w:val="Heading9"/>
    <w:uiPriority w:val="9"/>
    <w:rsid w:val="00126040"/>
    <w:rPr>
      <w:rFonts w:ascii="Tahoma" w:eastAsia="Tahoma" w:hAnsi="Tahoma" w:cs="Tahoma"/>
      <w:lang w:eastAsia="en-US"/>
    </w:rPr>
  </w:style>
  <w:style w:type="paragraph" w:customStyle="1" w:styleId="HeadingList">
    <w:name w:val="Heading List"/>
    <w:basedOn w:val="BodyText"/>
    <w:next w:val="BodyText"/>
    <w:link w:val="HeadingListChar"/>
    <w:uiPriority w:val="9"/>
    <w:semiHidden/>
    <w:unhideWhenUsed/>
    <w:rsid w:val="00126040"/>
    <w:pPr>
      <w:numPr>
        <w:ilvl w:val="4"/>
        <w:numId w:val="38"/>
      </w:numPr>
      <w:tabs>
        <w:tab w:val="left" w:pos="907"/>
        <w:tab w:val="left" w:pos="1644"/>
        <w:tab w:val="left" w:pos="2381"/>
        <w:tab w:val="left" w:pos="3119"/>
        <w:tab w:val="left" w:pos="3856"/>
        <w:tab w:val="left" w:pos="4593"/>
        <w:tab w:val="left" w:pos="5330"/>
        <w:tab w:val="left" w:pos="6067"/>
      </w:tabs>
    </w:pPr>
    <w:rPr>
      <w:rFonts w:ascii="Tahoma" w:eastAsiaTheme="minorHAnsi" w:hAnsi="Tahoma" w:cs="Tahoma"/>
      <w:vanish/>
      <w:color w:val="FF0000"/>
      <w:sz w:val="20"/>
      <w:szCs w:val="20"/>
      <w:lang w:eastAsia="en-US"/>
    </w:rPr>
  </w:style>
  <w:style w:type="character" w:customStyle="1" w:styleId="HeadingListChar">
    <w:name w:val="Heading List Char"/>
    <w:basedOn w:val="DefaultParagraphFont"/>
    <w:link w:val="HeadingList"/>
    <w:uiPriority w:val="9"/>
    <w:semiHidden/>
    <w:rsid w:val="00126040"/>
    <w:rPr>
      <w:rFonts w:ascii="Tahoma" w:eastAsiaTheme="minorHAnsi" w:hAnsi="Tahoma" w:cs="Tahoma"/>
      <w:vanish/>
      <w:color w:val="FF0000"/>
      <w:lang w:eastAsia="en-US"/>
    </w:rPr>
  </w:style>
  <w:style w:type="paragraph" w:customStyle="1" w:styleId="Schedule1">
    <w:name w:val="Schedule 1"/>
    <w:basedOn w:val="BodyText"/>
    <w:link w:val="Schedule1Char"/>
    <w:uiPriority w:val="49"/>
    <w:rsid w:val="009D199D"/>
    <w:pPr>
      <w:numPr>
        <w:ilvl w:val="1"/>
        <w:numId w:val="44"/>
      </w:numPr>
      <w:tabs>
        <w:tab w:val="left" w:pos="907"/>
        <w:tab w:val="left" w:pos="1644"/>
        <w:tab w:val="left" w:pos="2381"/>
        <w:tab w:val="left" w:pos="3119"/>
        <w:tab w:val="left" w:pos="3856"/>
        <w:tab w:val="left" w:pos="4593"/>
        <w:tab w:val="left" w:pos="5330"/>
        <w:tab w:val="left" w:pos="6067"/>
      </w:tabs>
    </w:pPr>
    <w:rPr>
      <w:rFonts w:eastAsiaTheme="minorHAnsi" w:cs="Tahoma"/>
      <w:lang w:eastAsia="en-US"/>
    </w:rPr>
  </w:style>
  <w:style w:type="character" w:customStyle="1" w:styleId="Schedule1Char">
    <w:name w:val="Schedule 1 Char"/>
    <w:basedOn w:val="DefaultParagraphFont"/>
    <w:link w:val="Schedule1"/>
    <w:uiPriority w:val="49"/>
    <w:rsid w:val="009D199D"/>
    <w:rPr>
      <w:rFonts w:ascii="Georgia" w:eastAsiaTheme="minorHAnsi" w:hAnsi="Georgia" w:cs="Tahoma"/>
      <w:sz w:val="24"/>
      <w:szCs w:val="24"/>
      <w:lang w:eastAsia="en-US"/>
    </w:rPr>
  </w:style>
  <w:style w:type="paragraph" w:customStyle="1" w:styleId="Schedule2">
    <w:name w:val="Schedule 2"/>
    <w:basedOn w:val="BodyText"/>
    <w:next w:val="BodyText"/>
    <w:link w:val="Schedule2Char"/>
    <w:uiPriority w:val="49"/>
    <w:rsid w:val="009D199D"/>
    <w:pPr>
      <w:numPr>
        <w:ilvl w:val="2"/>
        <w:numId w:val="44"/>
      </w:numPr>
      <w:tabs>
        <w:tab w:val="left" w:pos="907"/>
        <w:tab w:val="left" w:pos="1644"/>
        <w:tab w:val="left" w:pos="2381"/>
        <w:tab w:val="left" w:pos="3119"/>
        <w:tab w:val="left" w:pos="3856"/>
        <w:tab w:val="left" w:pos="4593"/>
        <w:tab w:val="left" w:pos="5330"/>
        <w:tab w:val="left" w:pos="6067"/>
      </w:tabs>
    </w:pPr>
    <w:rPr>
      <w:rFonts w:ascii="Tahoma" w:eastAsiaTheme="minorHAnsi" w:hAnsi="Tahoma" w:cs="Tahoma"/>
      <w:sz w:val="20"/>
      <w:szCs w:val="20"/>
      <w:lang w:eastAsia="en-US"/>
    </w:rPr>
  </w:style>
  <w:style w:type="character" w:customStyle="1" w:styleId="Schedule2Char">
    <w:name w:val="Schedule 2 Char"/>
    <w:basedOn w:val="DefaultParagraphFont"/>
    <w:link w:val="Schedule2"/>
    <w:uiPriority w:val="49"/>
    <w:rsid w:val="009D199D"/>
    <w:rPr>
      <w:rFonts w:ascii="Tahoma" w:eastAsiaTheme="minorHAnsi" w:hAnsi="Tahoma" w:cs="Tahoma"/>
      <w:lang w:eastAsia="en-US"/>
    </w:rPr>
  </w:style>
  <w:style w:type="paragraph" w:customStyle="1" w:styleId="CourtHeader">
    <w:name w:val="Court Header"/>
    <w:basedOn w:val="Normal"/>
    <w:link w:val="CourtHeaderChar"/>
    <w:rsid w:val="00F97F2A"/>
    <w:pPr>
      <w:tabs>
        <w:tab w:val="left" w:pos="862"/>
        <w:tab w:val="left" w:pos="1729"/>
        <w:tab w:val="left" w:pos="2591"/>
        <w:tab w:val="left" w:pos="3459"/>
      </w:tabs>
      <w:suppressAutoHyphens w:val="0"/>
      <w:spacing w:before="0"/>
      <w:jc w:val="right"/>
    </w:pPr>
    <w:rPr>
      <w:rFonts w:ascii="Tahoma" w:eastAsiaTheme="minorHAnsi" w:hAnsi="Tahoma" w:cs="Tahoma"/>
      <w:sz w:val="16"/>
      <w:szCs w:val="16"/>
      <w:lang w:eastAsia="en-US"/>
    </w:rPr>
  </w:style>
  <w:style w:type="character" w:customStyle="1" w:styleId="CourtHeaderChar">
    <w:name w:val="Court Header Char"/>
    <w:basedOn w:val="DefaultParagraphFont"/>
    <w:link w:val="CourtHeader"/>
    <w:rsid w:val="00F97F2A"/>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33283">
      <w:bodyDiv w:val="1"/>
      <w:marLeft w:val="0"/>
      <w:marRight w:val="0"/>
      <w:marTop w:val="0"/>
      <w:marBottom w:val="0"/>
      <w:divBdr>
        <w:top w:val="none" w:sz="0" w:space="0" w:color="auto"/>
        <w:left w:val="none" w:sz="0" w:space="0" w:color="auto"/>
        <w:bottom w:val="none" w:sz="0" w:space="0" w:color="auto"/>
        <w:right w:val="none" w:sz="0" w:space="0" w:color="auto"/>
      </w:divBdr>
    </w:div>
    <w:div w:id="324743075">
      <w:bodyDiv w:val="1"/>
      <w:marLeft w:val="0"/>
      <w:marRight w:val="0"/>
      <w:marTop w:val="0"/>
      <w:marBottom w:val="0"/>
      <w:divBdr>
        <w:top w:val="none" w:sz="0" w:space="0" w:color="auto"/>
        <w:left w:val="none" w:sz="0" w:space="0" w:color="auto"/>
        <w:bottom w:val="none" w:sz="0" w:space="0" w:color="auto"/>
        <w:right w:val="none" w:sz="0" w:space="0" w:color="auto"/>
      </w:divBdr>
      <w:divsChild>
        <w:div w:id="848566046">
          <w:marLeft w:val="0"/>
          <w:marRight w:val="0"/>
          <w:marTop w:val="0"/>
          <w:marBottom w:val="0"/>
          <w:divBdr>
            <w:top w:val="none" w:sz="0" w:space="0" w:color="auto"/>
            <w:left w:val="none" w:sz="0" w:space="0" w:color="auto"/>
            <w:bottom w:val="none" w:sz="0" w:space="0" w:color="auto"/>
            <w:right w:val="none" w:sz="0" w:space="0" w:color="auto"/>
          </w:divBdr>
          <w:divsChild>
            <w:div w:id="483788234">
              <w:marLeft w:val="0"/>
              <w:marRight w:val="0"/>
              <w:marTop w:val="0"/>
              <w:marBottom w:val="0"/>
              <w:divBdr>
                <w:top w:val="none" w:sz="0" w:space="0" w:color="auto"/>
                <w:left w:val="none" w:sz="0" w:space="0" w:color="auto"/>
                <w:bottom w:val="none" w:sz="0" w:space="0" w:color="auto"/>
                <w:right w:val="none" w:sz="0" w:space="0" w:color="auto"/>
              </w:divBdr>
              <w:divsChild>
                <w:div w:id="42684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68851">
          <w:marLeft w:val="0"/>
          <w:marRight w:val="0"/>
          <w:marTop w:val="0"/>
          <w:marBottom w:val="0"/>
          <w:divBdr>
            <w:top w:val="single" w:sz="6" w:space="0" w:color="F0F0F0"/>
            <w:left w:val="none" w:sz="0" w:space="0" w:color="auto"/>
            <w:bottom w:val="none" w:sz="0" w:space="0" w:color="auto"/>
            <w:right w:val="none" w:sz="0" w:space="0" w:color="auto"/>
          </w:divBdr>
          <w:divsChild>
            <w:div w:id="435294307">
              <w:marLeft w:val="0"/>
              <w:marRight w:val="0"/>
              <w:marTop w:val="0"/>
              <w:marBottom w:val="0"/>
              <w:divBdr>
                <w:top w:val="none" w:sz="0" w:space="0" w:color="auto"/>
                <w:left w:val="none" w:sz="0" w:space="0" w:color="auto"/>
                <w:bottom w:val="none" w:sz="0" w:space="0" w:color="auto"/>
                <w:right w:val="none" w:sz="0" w:space="0" w:color="auto"/>
              </w:divBdr>
              <w:divsChild>
                <w:div w:id="1648633138">
                  <w:marLeft w:val="0"/>
                  <w:marRight w:val="0"/>
                  <w:marTop w:val="0"/>
                  <w:marBottom w:val="0"/>
                  <w:divBdr>
                    <w:top w:val="none" w:sz="0" w:space="0" w:color="auto"/>
                    <w:left w:val="none" w:sz="0" w:space="0" w:color="auto"/>
                    <w:bottom w:val="none" w:sz="0" w:space="0" w:color="auto"/>
                    <w:right w:val="none" w:sz="0" w:space="0" w:color="auto"/>
                  </w:divBdr>
                </w:div>
                <w:div w:id="296305229">
                  <w:marLeft w:val="0"/>
                  <w:marRight w:val="0"/>
                  <w:marTop w:val="0"/>
                  <w:marBottom w:val="0"/>
                  <w:divBdr>
                    <w:top w:val="none" w:sz="0" w:space="0" w:color="auto"/>
                    <w:left w:val="none" w:sz="0" w:space="0" w:color="auto"/>
                    <w:bottom w:val="none" w:sz="0" w:space="0" w:color="auto"/>
                    <w:right w:val="none" w:sz="0" w:space="0" w:color="auto"/>
                  </w:divBdr>
                </w:div>
              </w:divsChild>
            </w:div>
            <w:div w:id="325211327">
              <w:marLeft w:val="0"/>
              <w:marRight w:val="0"/>
              <w:marTop w:val="0"/>
              <w:marBottom w:val="0"/>
              <w:divBdr>
                <w:top w:val="none" w:sz="0" w:space="0" w:color="auto"/>
                <w:left w:val="none" w:sz="0" w:space="0" w:color="auto"/>
                <w:bottom w:val="none" w:sz="0" w:space="0" w:color="auto"/>
                <w:right w:val="none" w:sz="0" w:space="0" w:color="auto"/>
              </w:divBdr>
              <w:divsChild>
                <w:div w:id="851381313">
                  <w:marLeft w:val="0"/>
                  <w:marRight w:val="0"/>
                  <w:marTop w:val="0"/>
                  <w:marBottom w:val="0"/>
                  <w:divBdr>
                    <w:top w:val="none" w:sz="0" w:space="0" w:color="auto"/>
                    <w:left w:val="none" w:sz="0" w:space="0" w:color="auto"/>
                    <w:bottom w:val="none" w:sz="0" w:space="0" w:color="auto"/>
                    <w:right w:val="none" w:sz="0" w:space="0" w:color="auto"/>
                  </w:divBdr>
                </w:div>
              </w:divsChild>
            </w:div>
            <w:div w:id="1568539927">
              <w:marLeft w:val="0"/>
              <w:marRight w:val="0"/>
              <w:marTop w:val="0"/>
              <w:marBottom w:val="0"/>
              <w:divBdr>
                <w:top w:val="none" w:sz="0" w:space="0" w:color="auto"/>
                <w:left w:val="none" w:sz="0" w:space="0" w:color="auto"/>
                <w:bottom w:val="none" w:sz="0" w:space="0" w:color="auto"/>
                <w:right w:val="none" w:sz="0" w:space="0" w:color="auto"/>
              </w:divBdr>
              <w:divsChild>
                <w:div w:id="1378313195">
                  <w:marLeft w:val="0"/>
                  <w:marRight w:val="0"/>
                  <w:marTop w:val="0"/>
                  <w:marBottom w:val="0"/>
                  <w:divBdr>
                    <w:top w:val="none" w:sz="0" w:space="0" w:color="auto"/>
                    <w:left w:val="none" w:sz="0" w:space="0" w:color="auto"/>
                    <w:bottom w:val="none" w:sz="0" w:space="0" w:color="auto"/>
                    <w:right w:val="none" w:sz="0" w:space="0" w:color="auto"/>
                  </w:divBdr>
                </w:div>
              </w:divsChild>
            </w:div>
            <w:div w:id="1055156498">
              <w:marLeft w:val="0"/>
              <w:marRight w:val="0"/>
              <w:marTop w:val="0"/>
              <w:marBottom w:val="0"/>
              <w:divBdr>
                <w:top w:val="none" w:sz="0" w:space="0" w:color="auto"/>
                <w:left w:val="none" w:sz="0" w:space="0" w:color="auto"/>
                <w:bottom w:val="none" w:sz="0" w:space="0" w:color="auto"/>
                <w:right w:val="none" w:sz="0" w:space="0" w:color="auto"/>
              </w:divBdr>
              <w:divsChild>
                <w:div w:id="1006325797">
                  <w:marLeft w:val="0"/>
                  <w:marRight w:val="0"/>
                  <w:marTop w:val="0"/>
                  <w:marBottom w:val="0"/>
                  <w:divBdr>
                    <w:top w:val="none" w:sz="0" w:space="0" w:color="auto"/>
                    <w:left w:val="none" w:sz="0" w:space="0" w:color="auto"/>
                    <w:bottom w:val="none" w:sz="0" w:space="0" w:color="auto"/>
                    <w:right w:val="none" w:sz="0" w:space="0" w:color="auto"/>
                  </w:divBdr>
                </w:div>
              </w:divsChild>
            </w:div>
            <w:div w:id="1279022835">
              <w:marLeft w:val="0"/>
              <w:marRight w:val="0"/>
              <w:marTop w:val="0"/>
              <w:marBottom w:val="0"/>
              <w:divBdr>
                <w:top w:val="none" w:sz="0" w:space="0" w:color="auto"/>
                <w:left w:val="none" w:sz="0" w:space="0" w:color="auto"/>
                <w:bottom w:val="none" w:sz="0" w:space="0" w:color="auto"/>
                <w:right w:val="none" w:sz="0" w:space="0" w:color="auto"/>
              </w:divBdr>
              <w:divsChild>
                <w:div w:id="3862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35581">
      <w:bodyDiv w:val="1"/>
      <w:marLeft w:val="0"/>
      <w:marRight w:val="0"/>
      <w:marTop w:val="0"/>
      <w:marBottom w:val="0"/>
      <w:divBdr>
        <w:top w:val="none" w:sz="0" w:space="0" w:color="auto"/>
        <w:left w:val="none" w:sz="0" w:space="0" w:color="auto"/>
        <w:bottom w:val="none" w:sz="0" w:space="0" w:color="auto"/>
        <w:right w:val="none" w:sz="0" w:space="0" w:color="auto"/>
      </w:divBdr>
    </w:div>
    <w:div w:id="1574124133">
      <w:bodyDiv w:val="1"/>
      <w:marLeft w:val="0"/>
      <w:marRight w:val="0"/>
      <w:marTop w:val="0"/>
      <w:marBottom w:val="0"/>
      <w:divBdr>
        <w:top w:val="none" w:sz="0" w:space="0" w:color="auto"/>
        <w:left w:val="none" w:sz="0" w:space="0" w:color="auto"/>
        <w:bottom w:val="none" w:sz="0" w:space="0" w:color="auto"/>
        <w:right w:val="none" w:sz="0" w:space="0" w:color="auto"/>
      </w:divBdr>
    </w:div>
    <w:div w:id="1971744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plondon@justice.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lexisnexis.com/uk/legal/citationlinkHandler.faces?bct=A&amp;service=citation&amp;risb=&amp;UK_LEG&amp;$num!%251954_56a_PART_II%25" TargetMode="External"/><Relationship Id="rId4" Type="http://schemas.openxmlformats.org/officeDocument/2006/relationships/webSettings" Target="webSettings.xml"/><Relationship Id="rId9" Type="http://schemas.openxmlformats.org/officeDocument/2006/relationships/hyperlink" Target="https://www.lexisnexis.com/uk/legal/citationlinkHandler.faces?bct=A&amp;service=citation&amp;risb=&amp;UK_LEG&amp;$num!%252002_15a_SCH_1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5383</Words>
  <Characters>25786</Characters>
  <Application>Microsoft Office Word</Application>
  <DocSecurity>0</DocSecurity>
  <Lines>214</Lines>
  <Paragraphs>62</Paragraphs>
  <ScaleCrop>false</ScaleCrop>
  <Company/>
  <LinksUpToDate>false</LinksUpToDate>
  <CharactersWithSpaces>31107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David</dc:creator>
  <dc:description/>
  <cp:lastModifiedBy>Stewart, David</cp:lastModifiedBy>
  <cp:revision>3</cp:revision>
  <dcterms:created xsi:type="dcterms:W3CDTF">2024-01-29T11:57:00Z</dcterms:created>
  <dcterms:modified xsi:type="dcterms:W3CDTF">2024-01-29T11:57:00Z</dcterms:modified>
  <dc:language/>
</cp:coreProperties>
</file>