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D6D2" w14:textId="7DD34D31" w:rsidR="00AF28C7" w:rsidRDefault="00C577C2" w:rsidP="00586576">
      <w:pPr>
        <w:pStyle w:val="Logos"/>
        <w:tabs>
          <w:tab w:val="right" w:pos="9498"/>
        </w:tabs>
        <w:spacing w:line="276" w:lineRule="auto"/>
      </w:pPr>
      <w:r>
        <mc:AlternateContent>
          <mc:Choice Requires="wps">
            <w:drawing>
              <wp:anchor distT="45720" distB="45720" distL="114300" distR="114300" simplePos="0" relativeHeight="251659264" behindDoc="0" locked="0" layoutInCell="1" allowOverlap="1" wp14:anchorId="57E59B21" wp14:editId="6EB7D0A2">
                <wp:simplePos x="0" y="0"/>
                <wp:positionH relativeFrom="column">
                  <wp:posOffset>2585085</wp:posOffset>
                </wp:positionH>
                <wp:positionV relativeFrom="paragraph">
                  <wp:posOffset>32385</wp:posOffset>
                </wp:positionV>
                <wp:extent cx="3657600" cy="1404620"/>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solidFill>
                            <a:srgbClr val="000000"/>
                          </a:solidFill>
                          <a:miter lim="800000"/>
                          <a:headEnd/>
                          <a:tailEnd/>
                        </a:ln>
                      </wps:spPr>
                      <wps:txbx>
                        <w:txbxContent>
                          <w:p w14:paraId="1BBDC27D" w14:textId="1B8A2273" w:rsidR="00C577C2" w:rsidRPr="00C577C2" w:rsidRDefault="00C577C2">
                            <w:pPr>
                              <w:rPr>
                                <w:b/>
                                <w:bCs/>
                                <w:sz w:val="40"/>
                                <w:szCs w:val="40"/>
                              </w:rPr>
                            </w:pPr>
                            <w:r w:rsidRPr="00C577C2">
                              <w:rPr>
                                <w:b/>
                                <w:bCs/>
                                <w:sz w:val="40"/>
                                <w:szCs w:val="40"/>
                              </w:rPr>
                              <w:t>This document has been withdrawn as it is out of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E59B21" id="_x0000_t202" coordsize="21600,21600" o:spt="202" path="m,l,21600r21600,l21600,xe">
                <v:stroke joinstyle="miter"/>
                <v:path gradientshapeok="t" o:connecttype="rect"/>
              </v:shapetype>
              <v:shape id="Text Box 2" o:spid="_x0000_s1026" type="#_x0000_t202" style="position:absolute;margin-left:203.55pt;margin-top:2.55pt;width:4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05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nw7XJxscz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">
                <v:textbox style="mso-fit-shape-to-text:t">
                  <w:txbxContent>
                    <w:p w14:paraId="1BBDC27D" w14:textId="1B8A2273" w:rsidR="00C577C2" w:rsidRPr="00C577C2" w:rsidRDefault="00C577C2">
                      <w:pPr>
                        <w:rPr>
                          <w:b/>
                          <w:bCs/>
                          <w:sz w:val="40"/>
                          <w:szCs w:val="40"/>
                        </w:rPr>
                      </w:pPr>
                      <w:r w:rsidRPr="00C577C2">
                        <w:rPr>
                          <w:b/>
                          <w:bCs/>
                          <w:sz w:val="40"/>
                          <w:szCs w:val="40"/>
                        </w:rPr>
                        <w:t>This document has been withdrawn as it is out of date.</w:t>
                      </w:r>
                    </w:p>
                  </w:txbxContent>
                </v:textbox>
                <w10:wrap type="square"/>
              </v:shape>
            </w:pict>
          </mc:Fallback>
        </mc:AlternateContent>
      </w:r>
      <w:r w:rsidR="001B0323">
        <w:drawing>
          <wp:inline distT="0" distB="0" distL="0" distR="0" wp14:anchorId="73A0AD04" wp14:editId="0A601F15">
            <wp:extent cx="1778000" cy="1079500"/>
            <wp:effectExtent l="0" t="0" r="0" b="6350"/>
            <wp:docPr id="2"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4"/>
                    <a:srcRect/>
                    <a:stretch>
                      <a:fillRect/>
                    </a:stretch>
                  </pic:blipFill>
                  <pic:spPr>
                    <a:xfrm>
                      <a:off x="0" y="0"/>
                      <a:ext cx="1778000" cy="1079500"/>
                    </a:xfrm>
                    <a:prstGeom prst="rect">
                      <a:avLst/>
                    </a:prstGeom>
                    <a:noFill/>
                    <a:ln>
                      <a:noFill/>
                      <a:prstDash/>
                    </a:ln>
                  </pic:spPr>
                </pic:pic>
              </a:graphicData>
            </a:graphic>
          </wp:inline>
        </w:drawing>
      </w:r>
      <w:r w:rsidR="00AF28C7">
        <w:tab/>
      </w:r>
    </w:p>
    <w:p w14:paraId="6B830722" w14:textId="1B96A8B8" w:rsidR="009F41B6" w:rsidRDefault="00134962" w:rsidP="00586576">
      <w:pPr>
        <w:pStyle w:val="TitleText"/>
        <w:spacing w:line="276" w:lineRule="auto"/>
      </w:pPr>
      <w:r>
        <w:t>E</w:t>
      </w:r>
      <w:r w:rsidR="00334CCA">
        <w:t xml:space="preserve">arly </w:t>
      </w:r>
      <w:r w:rsidR="00AF416A">
        <w:t>Y</w:t>
      </w:r>
      <w:r w:rsidR="00334CCA">
        <w:t>ears</w:t>
      </w:r>
      <w:r w:rsidR="00161133">
        <w:t xml:space="preserve"> </w:t>
      </w:r>
      <w:r w:rsidR="00AF416A">
        <w:t>N</w:t>
      </w:r>
      <w:r w:rsidR="00161133">
        <w:t xml:space="preserve">ational </w:t>
      </w:r>
      <w:r w:rsidR="00AF416A">
        <w:t>F</w:t>
      </w:r>
      <w:r w:rsidR="00CB1D8C" w:rsidRPr="00CB1D8C">
        <w:t xml:space="preserve">unding </w:t>
      </w:r>
      <w:r w:rsidR="00AF416A">
        <w:t>F</w:t>
      </w:r>
      <w:r w:rsidR="00161133" w:rsidRPr="00DC365F">
        <w:t>ormula</w:t>
      </w:r>
      <w:r w:rsidR="00AF416A">
        <w:t>: T</w:t>
      </w:r>
      <w:r w:rsidR="00CB1D8C" w:rsidRPr="00DC365F">
        <w:t xml:space="preserve">echnical </w:t>
      </w:r>
      <w:r w:rsidR="004B0E87" w:rsidRPr="00DC365F">
        <w:t>note</w:t>
      </w:r>
    </w:p>
    <w:p w14:paraId="1CB5A32F" w14:textId="77777777" w:rsidR="009F41B6" w:rsidRDefault="009F41B6" w:rsidP="00586576">
      <w:pPr>
        <w:pStyle w:val="SubtitleText"/>
        <w:spacing w:line="276" w:lineRule="auto"/>
      </w:pPr>
    </w:p>
    <w:p w14:paraId="7F41F0E7" w14:textId="1DB4ED31" w:rsidR="009F41B6" w:rsidRDefault="00DC6403" w:rsidP="00586576">
      <w:pPr>
        <w:pStyle w:val="Date"/>
        <w:spacing w:line="276" w:lineRule="auto"/>
      </w:pPr>
      <w:r>
        <w:t>November 2017</w:t>
      </w:r>
    </w:p>
    <w:bookmarkStart w:id="0" w:name="_Toc357771638" w:displacedByCustomXml="next"/>
    <w:bookmarkStart w:id="1" w:name="_Toc346793416" w:displacedByCustomXml="next"/>
    <w:bookmarkStart w:id="2" w:name="_Toc328122777" w:displacedByCustomXml="next"/>
    <w:sdt>
      <w:sdtPr>
        <w:rPr>
          <w:rFonts w:cs="Times New Roman"/>
          <w:b w:val="0"/>
          <w:color w:val="0D0D0D" w:themeColor="text1" w:themeTint="F2"/>
          <w:sz w:val="24"/>
          <w:szCs w:val="24"/>
          <w:lang w:eastAsia="en-GB"/>
        </w:rPr>
        <w:id w:val="-1274320657"/>
        <w:docPartObj>
          <w:docPartGallery w:val="Table of Contents"/>
          <w:docPartUnique/>
        </w:docPartObj>
      </w:sdtPr>
      <w:sdtEndPr>
        <w:rPr>
          <w:bCs/>
          <w:noProof/>
        </w:rPr>
      </w:sdtEndPr>
      <w:sdtContent>
        <w:p w14:paraId="4D715892" w14:textId="1ED0DE31" w:rsidR="00737CEC" w:rsidRDefault="00737CEC" w:rsidP="00586576">
          <w:pPr>
            <w:pStyle w:val="TOCHeading"/>
            <w:spacing w:line="276" w:lineRule="auto"/>
          </w:pPr>
          <w:r>
            <w:t>Contents</w:t>
          </w:r>
        </w:p>
        <w:p w14:paraId="1BF0FD3C" w14:textId="3E12792B" w:rsidR="00C26B46" w:rsidRDefault="00737CEC">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98436529" w:history="1">
            <w:r w:rsidR="00C26B46" w:rsidRPr="00A80D3B">
              <w:rPr>
                <w:rStyle w:val="Hyperlink"/>
              </w:rPr>
              <w:t>Introduction</w:t>
            </w:r>
            <w:r w:rsidR="00C26B46">
              <w:rPr>
                <w:webHidden/>
              </w:rPr>
              <w:tab/>
            </w:r>
            <w:r w:rsidR="00C26B46">
              <w:rPr>
                <w:webHidden/>
              </w:rPr>
              <w:fldChar w:fldCharType="begin"/>
            </w:r>
            <w:r w:rsidR="00C26B46">
              <w:rPr>
                <w:webHidden/>
              </w:rPr>
              <w:instrText xml:space="preserve"> PAGEREF _Toc498436529 \h </w:instrText>
            </w:r>
            <w:r w:rsidR="00C26B46">
              <w:rPr>
                <w:webHidden/>
              </w:rPr>
            </w:r>
            <w:r w:rsidR="00C26B46">
              <w:rPr>
                <w:webHidden/>
              </w:rPr>
              <w:fldChar w:fldCharType="separate"/>
            </w:r>
            <w:r w:rsidR="00864BC9">
              <w:rPr>
                <w:webHidden/>
              </w:rPr>
              <w:t>3</w:t>
            </w:r>
            <w:r w:rsidR="00C26B46">
              <w:rPr>
                <w:webHidden/>
              </w:rPr>
              <w:fldChar w:fldCharType="end"/>
            </w:r>
          </w:hyperlink>
        </w:p>
        <w:p w14:paraId="072FAFDB" w14:textId="228488B5" w:rsidR="00C26B46" w:rsidRDefault="00C577C2">
          <w:pPr>
            <w:pStyle w:val="TOC1"/>
            <w:rPr>
              <w:rFonts w:asciiTheme="minorHAnsi" w:eastAsiaTheme="minorEastAsia" w:hAnsiTheme="minorHAnsi" w:cstheme="minorBidi"/>
              <w:color w:val="auto"/>
              <w:sz w:val="22"/>
              <w:szCs w:val="22"/>
            </w:rPr>
          </w:pPr>
          <w:hyperlink w:anchor="_Toc498436530" w:history="1">
            <w:r w:rsidR="00C26B46" w:rsidRPr="00A80D3B">
              <w:rPr>
                <w:rStyle w:val="Hyperlink"/>
              </w:rPr>
              <w:t>Hourly funding rates for three and four year olds</w:t>
            </w:r>
            <w:r w:rsidR="00C26B46">
              <w:rPr>
                <w:webHidden/>
              </w:rPr>
              <w:tab/>
            </w:r>
            <w:r w:rsidR="00C26B46">
              <w:rPr>
                <w:webHidden/>
              </w:rPr>
              <w:fldChar w:fldCharType="begin"/>
            </w:r>
            <w:r w:rsidR="00C26B46">
              <w:rPr>
                <w:webHidden/>
              </w:rPr>
              <w:instrText xml:space="preserve"> PAGEREF _Toc498436530 \h </w:instrText>
            </w:r>
            <w:r w:rsidR="00C26B46">
              <w:rPr>
                <w:webHidden/>
              </w:rPr>
            </w:r>
            <w:r w:rsidR="00C26B46">
              <w:rPr>
                <w:webHidden/>
              </w:rPr>
              <w:fldChar w:fldCharType="separate"/>
            </w:r>
            <w:r w:rsidR="00864BC9">
              <w:rPr>
                <w:webHidden/>
              </w:rPr>
              <w:t>4</w:t>
            </w:r>
            <w:r w:rsidR="00C26B46">
              <w:rPr>
                <w:webHidden/>
              </w:rPr>
              <w:fldChar w:fldCharType="end"/>
            </w:r>
          </w:hyperlink>
        </w:p>
        <w:p w14:paraId="4B7A1BDB" w14:textId="3844CC17" w:rsidR="00C26B46" w:rsidRDefault="00C577C2">
          <w:pPr>
            <w:pStyle w:val="TOC1"/>
            <w:rPr>
              <w:rFonts w:asciiTheme="minorHAnsi" w:eastAsiaTheme="minorEastAsia" w:hAnsiTheme="minorHAnsi" w:cstheme="minorBidi"/>
              <w:color w:val="auto"/>
              <w:sz w:val="22"/>
              <w:szCs w:val="22"/>
            </w:rPr>
          </w:pPr>
          <w:hyperlink w:anchor="_Toc498436531" w:history="1">
            <w:r w:rsidR="00C26B46" w:rsidRPr="00A80D3B">
              <w:rPr>
                <w:rStyle w:val="Hyperlink"/>
              </w:rPr>
              <w:t xml:space="preserve">Funding allocations for the early years block in </w:t>
            </w:r>
            <w:r w:rsidR="001F4E00">
              <w:rPr>
                <w:rStyle w:val="Hyperlink"/>
              </w:rPr>
              <w:t>2018 to 2019</w:t>
            </w:r>
            <w:r w:rsidR="00C26B46">
              <w:rPr>
                <w:webHidden/>
              </w:rPr>
              <w:tab/>
            </w:r>
            <w:r w:rsidR="00C26B46">
              <w:rPr>
                <w:webHidden/>
              </w:rPr>
              <w:fldChar w:fldCharType="begin"/>
            </w:r>
            <w:r w:rsidR="00C26B46">
              <w:rPr>
                <w:webHidden/>
              </w:rPr>
              <w:instrText xml:space="preserve"> PAGEREF _Toc498436531 \h </w:instrText>
            </w:r>
            <w:r w:rsidR="00C26B46">
              <w:rPr>
                <w:webHidden/>
              </w:rPr>
            </w:r>
            <w:r w:rsidR="00C26B46">
              <w:rPr>
                <w:webHidden/>
              </w:rPr>
              <w:fldChar w:fldCharType="separate"/>
            </w:r>
            <w:r w:rsidR="00864BC9">
              <w:rPr>
                <w:webHidden/>
              </w:rPr>
              <w:t>5</w:t>
            </w:r>
            <w:r w:rsidR="00C26B46">
              <w:rPr>
                <w:webHidden/>
              </w:rPr>
              <w:fldChar w:fldCharType="end"/>
            </w:r>
          </w:hyperlink>
        </w:p>
        <w:p w14:paraId="268B7C59" w14:textId="46AC7A44" w:rsidR="00C26B46" w:rsidRDefault="00C577C2">
          <w:pPr>
            <w:pStyle w:val="TOC2"/>
            <w:rPr>
              <w:rFonts w:asciiTheme="minorHAnsi" w:eastAsiaTheme="minorEastAsia" w:hAnsiTheme="minorHAnsi" w:cstheme="minorBidi"/>
              <w:color w:val="auto"/>
              <w:sz w:val="22"/>
              <w:szCs w:val="22"/>
            </w:rPr>
          </w:pPr>
          <w:hyperlink w:anchor="_Toc498436532" w:history="1">
            <w:r w:rsidR="00C26B46" w:rsidRPr="00A80D3B">
              <w:rPr>
                <w:rStyle w:val="Hyperlink"/>
              </w:rPr>
              <w:t>A.</w:t>
            </w:r>
            <w:r w:rsidR="00C26B46">
              <w:rPr>
                <w:rFonts w:asciiTheme="minorHAnsi" w:eastAsiaTheme="minorEastAsia" w:hAnsiTheme="minorHAnsi" w:cstheme="minorBidi"/>
                <w:color w:val="auto"/>
                <w:sz w:val="22"/>
                <w:szCs w:val="22"/>
              </w:rPr>
              <w:tab/>
            </w:r>
            <w:r w:rsidR="00C26B46" w:rsidRPr="00A80D3B">
              <w:rPr>
                <w:rStyle w:val="Hyperlink"/>
              </w:rPr>
              <w:t>The universal 15 hours entitlement for three and four year olds</w:t>
            </w:r>
            <w:r w:rsidR="00C26B46">
              <w:rPr>
                <w:webHidden/>
              </w:rPr>
              <w:tab/>
            </w:r>
            <w:r w:rsidR="00C26B46">
              <w:rPr>
                <w:webHidden/>
              </w:rPr>
              <w:fldChar w:fldCharType="begin"/>
            </w:r>
            <w:r w:rsidR="00C26B46">
              <w:rPr>
                <w:webHidden/>
              </w:rPr>
              <w:instrText xml:space="preserve"> PAGEREF _Toc498436532 \h </w:instrText>
            </w:r>
            <w:r w:rsidR="00C26B46">
              <w:rPr>
                <w:webHidden/>
              </w:rPr>
            </w:r>
            <w:r w:rsidR="00C26B46">
              <w:rPr>
                <w:webHidden/>
              </w:rPr>
              <w:fldChar w:fldCharType="separate"/>
            </w:r>
            <w:r w:rsidR="00864BC9">
              <w:rPr>
                <w:webHidden/>
              </w:rPr>
              <w:t>5</w:t>
            </w:r>
            <w:r w:rsidR="00C26B46">
              <w:rPr>
                <w:webHidden/>
              </w:rPr>
              <w:fldChar w:fldCharType="end"/>
            </w:r>
          </w:hyperlink>
        </w:p>
        <w:p w14:paraId="502E295D" w14:textId="74D76C4A" w:rsidR="00C26B46" w:rsidRDefault="00C577C2">
          <w:pPr>
            <w:pStyle w:val="TOC2"/>
            <w:rPr>
              <w:rFonts w:asciiTheme="minorHAnsi" w:eastAsiaTheme="minorEastAsia" w:hAnsiTheme="minorHAnsi" w:cstheme="minorBidi"/>
              <w:color w:val="auto"/>
              <w:sz w:val="22"/>
              <w:szCs w:val="22"/>
            </w:rPr>
          </w:pPr>
          <w:hyperlink w:anchor="_Toc498436533" w:history="1">
            <w:r w:rsidR="00C26B46" w:rsidRPr="00A80D3B">
              <w:rPr>
                <w:rStyle w:val="Hyperlink"/>
              </w:rPr>
              <w:t>B.</w:t>
            </w:r>
            <w:r w:rsidR="00C26B46">
              <w:rPr>
                <w:rFonts w:asciiTheme="minorHAnsi" w:eastAsiaTheme="minorEastAsia" w:hAnsiTheme="minorHAnsi" w:cstheme="minorBidi"/>
                <w:color w:val="auto"/>
                <w:sz w:val="22"/>
                <w:szCs w:val="22"/>
              </w:rPr>
              <w:tab/>
            </w:r>
            <w:r w:rsidR="00C26B46" w:rsidRPr="00A80D3B">
              <w:rPr>
                <w:rStyle w:val="Hyperlink"/>
              </w:rPr>
              <w:t>The additional 15 hours entitlement for three and four year old children of eligible working parents</w:t>
            </w:r>
            <w:r w:rsidR="00C26B46">
              <w:rPr>
                <w:webHidden/>
              </w:rPr>
              <w:tab/>
            </w:r>
            <w:r w:rsidR="00C26B46">
              <w:rPr>
                <w:webHidden/>
              </w:rPr>
              <w:fldChar w:fldCharType="begin"/>
            </w:r>
            <w:r w:rsidR="00C26B46">
              <w:rPr>
                <w:webHidden/>
              </w:rPr>
              <w:instrText xml:space="preserve"> PAGEREF _Toc498436533 \h </w:instrText>
            </w:r>
            <w:r w:rsidR="00C26B46">
              <w:rPr>
                <w:webHidden/>
              </w:rPr>
            </w:r>
            <w:r w:rsidR="00C26B46">
              <w:rPr>
                <w:webHidden/>
              </w:rPr>
              <w:fldChar w:fldCharType="separate"/>
            </w:r>
            <w:r w:rsidR="00864BC9">
              <w:rPr>
                <w:webHidden/>
              </w:rPr>
              <w:t>6</w:t>
            </w:r>
            <w:r w:rsidR="00C26B46">
              <w:rPr>
                <w:webHidden/>
              </w:rPr>
              <w:fldChar w:fldCharType="end"/>
            </w:r>
          </w:hyperlink>
        </w:p>
        <w:p w14:paraId="15F5B61F" w14:textId="42EA9E3D" w:rsidR="00C26B46" w:rsidRDefault="00C577C2">
          <w:pPr>
            <w:pStyle w:val="TOC2"/>
            <w:rPr>
              <w:rFonts w:asciiTheme="minorHAnsi" w:eastAsiaTheme="minorEastAsia" w:hAnsiTheme="minorHAnsi" w:cstheme="minorBidi"/>
              <w:color w:val="auto"/>
              <w:sz w:val="22"/>
              <w:szCs w:val="22"/>
            </w:rPr>
          </w:pPr>
          <w:hyperlink w:anchor="_Toc498436534" w:history="1">
            <w:r w:rsidR="00C26B46" w:rsidRPr="00A80D3B">
              <w:rPr>
                <w:rStyle w:val="Hyperlink"/>
              </w:rPr>
              <w:t>C.</w:t>
            </w:r>
            <w:r w:rsidR="00C26B46">
              <w:rPr>
                <w:rFonts w:asciiTheme="minorHAnsi" w:eastAsiaTheme="minorEastAsia" w:hAnsiTheme="minorHAnsi" w:cstheme="minorBidi"/>
                <w:color w:val="auto"/>
                <w:sz w:val="22"/>
                <w:szCs w:val="22"/>
              </w:rPr>
              <w:tab/>
            </w:r>
            <w:r w:rsidR="00C26B46" w:rsidRPr="00A80D3B">
              <w:rPr>
                <w:rStyle w:val="Hyperlink"/>
              </w:rPr>
              <w:t>The 15 hours entitlement for disadvantaged two year olds</w:t>
            </w:r>
            <w:r w:rsidR="00C26B46">
              <w:rPr>
                <w:webHidden/>
              </w:rPr>
              <w:tab/>
            </w:r>
            <w:r w:rsidR="00C26B46">
              <w:rPr>
                <w:webHidden/>
              </w:rPr>
              <w:fldChar w:fldCharType="begin"/>
            </w:r>
            <w:r w:rsidR="00C26B46">
              <w:rPr>
                <w:webHidden/>
              </w:rPr>
              <w:instrText xml:space="preserve"> PAGEREF _Toc498436534 \h </w:instrText>
            </w:r>
            <w:r w:rsidR="00C26B46">
              <w:rPr>
                <w:webHidden/>
              </w:rPr>
            </w:r>
            <w:r w:rsidR="00C26B46">
              <w:rPr>
                <w:webHidden/>
              </w:rPr>
              <w:fldChar w:fldCharType="separate"/>
            </w:r>
            <w:r w:rsidR="00864BC9">
              <w:rPr>
                <w:webHidden/>
              </w:rPr>
              <w:t>6</w:t>
            </w:r>
            <w:r w:rsidR="00C26B46">
              <w:rPr>
                <w:webHidden/>
              </w:rPr>
              <w:fldChar w:fldCharType="end"/>
            </w:r>
          </w:hyperlink>
        </w:p>
        <w:p w14:paraId="0E5874DE" w14:textId="42C700A5" w:rsidR="00C26B46" w:rsidRDefault="00C577C2">
          <w:pPr>
            <w:pStyle w:val="TOC2"/>
            <w:rPr>
              <w:rFonts w:asciiTheme="minorHAnsi" w:eastAsiaTheme="minorEastAsia" w:hAnsiTheme="minorHAnsi" w:cstheme="minorBidi"/>
              <w:color w:val="auto"/>
              <w:sz w:val="22"/>
              <w:szCs w:val="22"/>
            </w:rPr>
          </w:pPr>
          <w:hyperlink w:anchor="_Toc498436535" w:history="1">
            <w:r w:rsidR="00C26B46" w:rsidRPr="00A80D3B">
              <w:rPr>
                <w:rStyle w:val="Hyperlink"/>
              </w:rPr>
              <w:t>D.</w:t>
            </w:r>
            <w:r w:rsidR="00C26B46">
              <w:rPr>
                <w:rFonts w:asciiTheme="minorHAnsi" w:eastAsiaTheme="minorEastAsia" w:hAnsiTheme="minorHAnsi" w:cstheme="minorBidi"/>
                <w:color w:val="auto"/>
                <w:sz w:val="22"/>
                <w:szCs w:val="22"/>
              </w:rPr>
              <w:tab/>
            </w:r>
            <w:r w:rsidR="00C26B46" w:rsidRPr="00A80D3B">
              <w:rPr>
                <w:rStyle w:val="Hyperlink"/>
              </w:rPr>
              <w:t>Early Years Pupil Premium (EYPP)</w:t>
            </w:r>
            <w:r w:rsidR="00C26B46">
              <w:rPr>
                <w:webHidden/>
              </w:rPr>
              <w:tab/>
            </w:r>
            <w:r w:rsidR="00C26B46">
              <w:rPr>
                <w:webHidden/>
              </w:rPr>
              <w:fldChar w:fldCharType="begin"/>
            </w:r>
            <w:r w:rsidR="00C26B46">
              <w:rPr>
                <w:webHidden/>
              </w:rPr>
              <w:instrText xml:space="preserve"> PAGEREF _Toc498436535 \h </w:instrText>
            </w:r>
            <w:r w:rsidR="00C26B46">
              <w:rPr>
                <w:webHidden/>
              </w:rPr>
            </w:r>
            <w:r w:rsidR="00C26B46">
              <w:rPr>
                <w:webHidden/>
              </w:rPr>
              <w:fldChar w:fldCharType="separate"/>
            </w:r>
            <w:r w:rsidR="00864BC9">
              <w:rPr>
                <w:webHidden/>
              </w:rPr>
              <w:t>7</w:t>
            </w:r>
            <w:r w:rsidR="00C26B46">
              <w:rPr>
                <w:webHidden/>
              </w:rPr>
              <w:fldChar w:fldCharType="end"/>
            </w:r>
          </w:hyperlink>
        </w:p>
        <w:p w14:paraId="72882590" w14:textId="251326C5" w:rsidR="00C26B46" w:rsidRDefault="00C577C2">
          <w:pPr>
            <w:pStyle w:val="TOC2"/>
            <w:rPr>
              <w:rFonts w:asciiTheme="minorHAnsi" w:eastAsiaTheme="minorEastAsia" w:hAnsiTheme="minorHAnsi" w:cstheme="minorBidi"/>
              <w:color w:val="auto"/>
              <w:sz w:val="22"/>
              <w:szCs w:val="22"/>
            </w:rPr>
          </w:pPr>
          <w:hyperlink w:anchor="_Toc498436536" w:history="1">
            <w:r w:rsidR="00C26B46" w:rsidRPr="00A80D3B">
              <w:rPr>
                <w:rStyle w:val="Hyperlink"/>
              </w:rPr>
              <w:t>E.</w:t>
            </w:r>
            <w:r w:rsidR="00C26B46">
              <w:rPr>
                <w:rFonts w:asciiTheme="minorHAnsi" w:eastAsiaTheme="minorEastAsia" w:hAnsiTheme="minorHAnsi" w:cstheme="minorBidi"/>
                <w:color w:val="auto"/>
                <w:sz w:val="22"/>
                <w:szCs w:val="22"/>
              </w:rPr>
              <w:tab/>
            </w:r>
            <w:r w:rsidR="00C26B46" w:rsidRPr="00A80D3B">
              <w:rPr>
                <w:rStyle w:val="Hyperlink"/>
              </w:rPr>
              <w:t>Disability Access Fund (DAF)</w:t>
            </w:r>
            <w:r w:rsidR="00C26B46">
              <w:rPr>
                <w:webHidden/>
              </w:rPr>
              <w:tab/>
            </w:r>
            <w:r w:rsidR="00C26B46">
              <w:rPr>
                <w:webHidden/>
              </w:rPr>
              <w:fldChar w:fldCharType="begin"/>
            </w:r>
            <w:r w:rsidR="00C26B46">
              <w:rPr>
                <w:webHidden/>
              </w:rPr>
              <w:instrText xml:space="preserve"> PAGEREF _Toc498436536 \h </w:instrText>
            </w:r>
            <w:r w:rsidR="00C26B46">
              <w:rPr>
                <w:webHidden/>
              </w:rPr>
            </w:r>
            <w:r w:rsidR="00C26B46">
              <w:rPr>
                <w:webHidden/>
              </w:rPr>
              <w:fldChar w:fldCharType="separate"/>
            </w:r>
            <w:r w:rsidR="00864BC9">
              <w:rPr>
                <w:webHidden/>
              </w:rPr>
              <w:t>7</w:t>
            </w:r>
            <w:r w:rsidR="00C26B46">
              <w:rPr>
                <w:webHidden/>
              </w:rPr>
              <w:fldChar w:fldCharType="end"/>
            </w:r>
          </w:hyperlink>
        </w:p>
        <w:p w14:paraId="6C15F900" w14:textId="6B62A7C6" w:rsidR="00C26B46" w:rsidRDefault="00C577C2">
          <w:pPr>
            <w:pStyle w:val="TOC2"/>
            <w:rPr>
              <w:rFonts w:asciiTheme="minorHAnsi" w:eastAsiaTheme="minorEastAsia" w:hAnsiTheme="minorHAnsi" w:cstheme="minorBidi"/>
              <w:color w:val="auto"/>
              <w:sz w:val="22"/>
              <w:szCs w:val="22"/>
            </w:rPr>
          </w:pPr>
          <w:hyperlink w:anchor="_Toc498436537" w:history="1">
            <w:r w:rsidR="00C26B46" w:rsidRPr="00A80D3B">
              <w:rPr>
                <w:rStyle w:val="Hyperlink"/>
              </w:rPr>
              <w:t>F.</w:t>
            </w:r>
            <w:r w:rsidR="00C26B46">
              <w:rPr>
                <w:rFonts w:asciiTheme="minorHAnsi" w:eastAsiaTheme="minorEastAsia" w:hAnsiTheme="minorHAnsi" w:cstheme="minorBidi"/>
                <w:color w:val="auto"/>
                <w:sz w:val="22"/>
                <w:szCs w:val="22"/>
              </w:rPr>
              <w:tab/>
            </w:r>
            <w:r w:rsidR="00C26B46" w:rsidRPr="00A80D3B">
              <w:rPr>
                <w:rStyle w:val="Hyperlink"/>
              </w:rPr>
              <w:t>Supplementary funding for Maintained Nursery Schools (MNS)</w:t>
            </w:r>
            <w:r w:rsidR="00C26B46">
              <w:rPr>
                <w:webHidden/>
              </w:rPr>
              <w:tab/>
            </w:r>
            <w:r w:rsidR="00C26B46">
              <w:rPr>
                <w:webHidden/>
              </w:rPr>
              <w:fldChar w:fldCharType="begin"/>
            </w:r>
            <w:r w:rsidR="00C26B46">
              <w:rPr>
                <w:webHidden/>
              </w:rPr>
              <w:instrText xml:space="preserve"> PAGEREF _Toc498436537 \h </w:instrText>
            </w:r>
            <w:r w:rsidR="00C26B46">
              <w:rPr>
                <w:webHidden/>
              </w:rPr>
            </w:r>
            <w:r w:rsidR="00C26B46">
              <w:rPr>
                <w:webHidden/>
              </w:rPr>
              <w:fldChar w:fldCharType="separate"/>
            </w:r>
            <w:r w:rsidR="00864BC9">
              <w:rPr>
                <w:webHidden/>
              </w:rPr>
              <w:t>8</w:t>
            </w:r>
            <w:r w:rsidR="00C26B46">
              <w:rPr>
                <w:webHidden/>
              </w:rPr>
              <w:fldChar w:fldCharType="end"/>
            </w:r>
          </w:hyperlink>
        </w:p>
        <w:p w14:paraId="105FC2D7" w14:textId="1EE351DC" w:rsidR="00737CEC" w:rsidRDefault="00737CEC" w:rsidP="00586576">
          <w:pPr>
            <w:spacing w:line="276" w:lineRule="auto"/>
          </w:pPr>
          <w:r>
            <w:rPr>
              <w:b/>
              <w:bCs/>
              <w:noProof/>
            </w:rPr>
            <w:fldChar w:fldCharType="end"/>
          </w:r>
        </w:p>
      </w:sdtContent>
    </w:sdt>
    <w:p w14:paraId="5AC36593" w14:textId="77777777" w:rsidR="00A97989" w:rsidRDefault="00A97989" w:rsidP="00586576">
      <w:pPr>
        <w:spacing w:after="0" w:line="276" w:lineRule="auto"/>
        <w:rPr>
          <w:b/>
          <w:color w:val="104F75"/>
          <w:sz w:val="36"/>
        </w:rPr>
      </w:pPr>
      <w:r>
        <w:br w:type="page"/>
      </w:r>
    </w:p>
    <w:p w14:paraId="78B048C7" w14:textId="2576734B" w:rsidR="00E51A79" w:rsidRPr="00E51A79" w:rsidRDefault="006271E5" w:rsidP="00586576">
      <w:pPr>
        <w:pStyle w:val="Heading1"/>
        <w:spacing w:line="276" w:lineRule="auto"/>
      </w:pPr>
      <w:bookmarkStart w:id="3" w:name="_Toc444263651"/>
      <w:bookmarkStart w:id="4" w:name="_Toc452640133"/>
      <w:bookmarkStart w:id="5" w:name="_Toc498436529"/>
      <w:r w:rsidRPr="006271E5">
        <w:lastRenderedPageBreak/>
        <w:t>Introduction</w:t>
      </w:r>
      <w:bookmarkEnd w:id="3"/>
      <w:bookmarkEnd w:id="4"/>
      <w:bookmarkEnd w:id="5"/>
    </w:p>
    <w:p w14:paraId="12C751A6" w14:textId="694333E7" w:rsidR="000C5DAA" w:rsidRDefault="005C5442" w:rsidP="00586576">
      <w:pPr>
        <w:pStyle w:val="DeptBullets"/>
        <w:numPr>
          <w:ilvl w:val="0"/>
          <w:numId w:val="10"/>
        </w:numPr>
        <w:spacing w:line="276" w:lineRule="auto"/>
        <w:ind w:left="851" w:hanging="567"/>
      </w:pPr>
      <w:r>
        <w:t xml:space="preserve">This </w:t>
      </w:r>
      <w:r w:rsidR="00A21FE5">
        <w:t xml:space="preserve">technical </w:t>
      </w:r>
      <w:r>
        <w:t xml:space="preserve">note </w:t>
      </w:r>
      <w:proofErr w:type="spellStart"/>
      <w:r w:rsidR="00824745">
        <w:t>decribes</w:t>
      </w:r>
      <w:proofErr w:type="spellEnd"/>
      <w:r>
        <w:t xml:space="preserve"> the methodology for the </w:t>
      </w:r>
      <w:r w:rsidR="000D0821">
        <w:t>E</w:t>
      </w:r>
      <w:r w:rsidR="00F322A9">
        <w:t xml:space="preserve">arly </w:t>
      </w:r>
      <w:r w:rsidR="000D0821">
        <w:t>Y</w:t>
      </w:r>
      <w:r w:rsidR="00F322A9">
        <w:t xml:space="preserve">ears </w:t>
      </w:r>
      <w:r w:rsidR="000D0821">
        <w:t>N</w:t>
      </w:r>
      <w:r w:rsidR="00F322A9">
        <w:t xml:space="preserve">ational </w:t>
      </w:r>
      <w:r w:rsidR="000D0821">
        <w:t>F</w:t>
      </w:r>
      <w:r>
        <w:t xml:space="preserve">unding </w:t>
      </w:r>
      <w:r w:rsidR="000D0821">
        <w:t>F</w:t>
      </w:r>
      <w:r>
        <w:t xml:space="preserve">ormula </w:t>
      </w:r>
      <w:r w:rsidR="00A21FE5">
        <w:t xml:space="preserve">(EYNFF) </w:t>
      </w:r>
      <w:r w:rsidR="00F322A9" w:rsidRPr="003C46BC">
        <w:t xml:space="preserve">that </w:t>
      </w:r>
      <w:r w:rsidR="00183436" w:rsidRPr="003C46BC">
        <w:t>ha</w:t>
      </w:r>
      <w:r w:rsidR="00162C45" w:rsidRPr="003C46BC">
        <w:t>s</w:t>
      </w:r>
      <w:r w:rsidR="00183436" w:rsidRPr="003C46BC">
        <w:t xml:space="preserve"> been</w:t>
      </w:r>
      <w:r w:rsidR="00F322A9" w:rsidRPr="003C46BC">
        <w:t xml:space="preserve"> used </w:t>
      </w:r>
      <w:r w:rsidR="00E006B9" w:rsidRPr="003C46BC">
        <w:t xml:space="preserve">to </w:t>
      </w:r>
      <w:r w:rsidRPr="003C46BC">
        <w:t>generat</w:t>
      </w:r>
      <w:r w:rsidR="00F322A9" w:rsidRPr="003C46BC">
        <w:t>e</w:t>
      </w:r>
      <w:r w:rsidRPr="003C46BC">
        <w:t xml:space="preserve"> the </w:t>
      </w:r>
      <w:r w:rsidR="00824745">
        <w:t>local a</w:t>
      </w:r>
      <w:r w:rsidR="00161133" w:rsidRPr="003C46BC">
        <w:t xml:space="preserve">uthority </w:t>
      </w:r>
      <w:r w:rsidR="00FB5312">
        <w:t xml:space="preserve">hourly </w:t>
      </w:r>
      <w:r w:rsidRPr="003C46BC">
        <w:t xml:space="preserve">funding </w:t>
      </w:r>
      <w:r w:rsidR="00331CFE">
        <w:t>rates</w:t>
      </w:r>
      <w:r w:rsidR="00DC6403">
        <w:t xml:space="preserve"> for financial year 2018 to 2019</w:t>
      </w:r>
      <w:r w:rsidR="00F322A9" w:rsidRPr="003C46BC">
        <w:t>.</w:t>
      </w:r>
    </w:p>
    <w:p w14:paraId="0241394A" w14:textId="30606555" w:rsidR="00CA48CA" w:rsidRDefault="000C5DAA" w:rsidP="000C5DAA">
      <w:pPr>
        <w:pStyle w:val="DeptBullets"/>
        <w:numPr>
          <w:ilvl w:val="0"/>
          <w:numId w:val="10"/>
        </w:numPr>
        <w:spacing w:line="276" w:lineRule="auto"/>
        <w:ind w:left="851" w:hanging="567"/>
      </w:pPr>
      <w:r>
        <w:t xml:space="preserve">Specifically, it covers the </w:t>
      </w:r>
      <w:r w:rsidR="00CA48CA">
        <w:t>hourly rates</w:t>
      </w:r>
      <w:r w:rsidR="00424C46">
        <w:t xml:space="preserve"> for the </w:t>
      </w:r>
      <w:r>
        <w:t>free early education</w:t>
      </w:r>
      <w:r w:rsidR="00424C46">
        <w:t xml:space="preserve"> </w:t>
      </w:r>
      <w:r w:rsidR="00A21FE5">
        <w:t>entitlement</w:t>
      </w:r>
      <w:r>
        <w:t>s</w:t>
      </w:r>
      <w:r w:rsidR="005C5442">
        <w:t xml:space="preserve"> </w:t>
      </w:r>
      <w:r w:rsidR="00424C46">
        <w:t xml:space="preserve">for </w:t>
      </w:r>
      <w:proofErr w:type="gramStart"/>
      <w:r w:rsidR="00424C46">
        <w:t>three and four year olds</w:t>
      </w:r>
      <w:proofErr w:type="gramEnd"/>
      <w:r>
        <w:t xml:space="preserve"> (the universal 15 hours entitlement and the </w:t>
      </w:r>
      <w:r w:rsidR="00424C46" w:rsidRPr="000C5DAA">
        <w:rPr>
          <w:color w:val="0D0D0D"/>
        </w:rPr>
        <w:t xml:space="preserve">additional 15 hours entitlement for </w:t>
      </w:r>
      <w:r>
        <w:rPr>
          <w:color w:val="0D0D0D"/>
        </w:rPr>
        <w:t xml:space="preserve">eligible </w:t>
      </w:r>
      <w:r w:rsidR="00424C46" w:rsidRPr="000C5DAA">
        <w:rPr>
          <w:color w:val="0D0D0D"/>
        </w:rPr>
        <w:t>working parents</w:t>
      </w:r>
      <w:r>
        <w:rPr>
          <w:color w:val="0D0D0D"/>
        </w:rPr>
        <w:t>)</w:t>
      </w:r>
      <w:r w:rsidR="00091400">
        <w:t>.</w:t>
      </w:r>
    </w:p>
    <w:p w14:paraId="36E97A8A" w14:textId="0A5CC2D9" w:rsidR="00CA48CA" w:rsidRDefault="00CA48CA" w:rsidP="000C5DAA">
      <w:pPr>
        <w:pStyle w:val="DeptBullets"/>
        <w:numPr>
          <w:ilvl w:val="0"/>
          <w:numId w:val="10"/>
        </w:numPr>
        <w:spacing w:after="160" w:line="276" w:lineRule="auto"/>
        <w:ind w:left="851" w:hanging="567"/>
      </w:pPr>
      <w:r>
        <w:t>This</w:t>
      </w:r>
      <w:r w:rsidR="00A059BF">
        <w:t xml:space="preserve"> document also sets out how </w:t>
      </w:r>
      <w:r w:rsidR="001F4E00">
        <w:t>local authoritie</w:t>
      </w:r>
      <w:r w:rsidR="00A059BF">
        <w:t>s’</w:t>
      </w:r>
      <w:r>
        <w:t xml:space="preserve"> initial allocations fo</w:t>
      </w:r>
      <w:r w:rsidR="000D0821">
        <w:t xml:space="preserve">r the early years </w:t>
      </w:r>
      <w:r w:rsidR="00AF416A">
        <w:t>block of the d</w:t>
      </w:r>
      <w:r>
        <w:t xml:space="preserve">edicated </w:t>
      </w:r>
      <w:r w:rsidR="00AF416A">
        <w:t>s</w:t>
      </w:r>
      <w:r>
        <w:t xml:space="preserve">chools </w:t>
      </w:r>
      <w:r w:rsidR="00AF416A">
        <w:t>g</w:t>
      </w:r>
      <w:r>
        <w:t>rant (DSG) for 2018</w:t>
      </w:r>
      <w:r w:rsidR="001F4E00">
        <w:t xml:space="preserve"> to 20</w:t>
      </w:r>
      <w:r>
        <w:t xml:space="preserve">19 will be calculated. This includes: </w:t>
      </w:r>
    </w:p>
    <w:p w14:paraId="0E008EBF" w14:textId="1AF907AC" w:rsidR="00CA48CA" w:rsidRDefault="00CA48CA" w:rsidP="005657D9">
      <w:pPr>
        <w:pStyle w:val="DeptBullets"/>
        <w:numPr>
          <w:ilvl w:val="1"/>
          <w:numId w:val="14"/>
        </w:numPr>
        <w:spacing w:after="160" w:line="276" w:lineRule="auto"/>
      </w:pPr>
      <w:r>
        <w:t>funding for the universal 15 hours entitleme</w:t>
      </w:r>
      <w:r w:rsidR="001F4E00">
        <w:t xml:space="preserve">nt for </w:t>
      </w:r>
      <w:proofErr w:type="gramStart"/>
      <w:r w:rsidR="001F4E00">
        <w:t>three and four year olds</w:t>
      </w:r>
      <w:proofErr w:type="gramEnd"/>
    </w:p>
    <w:p w14:paraId="0445CD2D" w14:textId="25E87EEC" w:rsidR="00CA48CA" w:rsidRDefault="00CA48CA" w:rsidP="005657D9">
      <w:pPr>
        <w:pStyle w:val="DeptBullets"/>
        <w:numPr>
          <w:ilvl w:val="1"/>
          <w:numId w:val="14"/>
        </w:numPr>
        <w:spacing w:after="160" w:line="276" w:lineRule="auto"/>
      </w:pPr>
      <w:r>
        <w:t xml:space="preserve">funding for the additional 15 hours entitlement for </w:t>
      </w:r>
      <w:proofErr w:type="gramStart"/>
      <w:r w:rsidR="00021C71">
        <w:t>three and four year old</w:t>
      </w:r>
      <w:proofErr w:type="gramEnd"/>
      <w:r w:rsidR="00021C71">
        <w:t xml:space="preserve"> children of eligible working parents</w:t>
      </w:r>
    </w:p>
    <w:p w14:paraId="322222EE" w14:textId="566604F9" w:rsidR="00CA48CA" w:rsidRDefault="00CA48CA" w:rsidP="005657D9">
      <w:pPr>
        <w:pStyle w:val="DeptBullets"/>
        <w:numPr>
          <w:ilvl w:val="1"/>
          <w:numId w:val="14"/>
        </w:numPr>
        <w:spacing w:after="160" w:line="276" w:lineRule="auto"/>
      </w:pPr>
      <w:r>
        <w:t xml:space="preserve">funding for the 15 hours entitlement </w:t>
      </w:r>
      <w:r w:rsidR="001F4E00">
        <w:t xml:space="preserve">for disadvantaged </w:t>
      </w:r>
      <w:proofErr w:type="gramStart"/>
      <w:r w:rsidR="001F4E00">
        <w:t>two year</w:t>
      </w:r>
      <w:proofErr w:type="gramEnd"/>
      <w:r w:rsidR="001F4E00">
        <w:t xml:space="preserve"> olds</w:t>
      </w:r>
    </w:p>
    <w:p w14:paraId="1F08FAD1" w14:textId="0FCC3363" w:rsidR="00CA48CA" w:rsidRDefault="00CA48CA" w:rsidP="005657D9">
      <w:pPr>
        <w:pStyle w:val="DeptBullets"/>
        <w:numPr>
          <w:ilvl w:val="1"/>
          <w:numId w:val="14"/>
        </w:numPr>
        <w:spacing w:after="160" w:line="276" w:lineRule="auto"/>
      </w:pPr>
      <w:r>
        <w:t xml:space="preserve">funding for the </w:t>
      </w:r>
      <w:r w:rsidR="00021C71">
        <w:t>Early Years Pupil P</w:t>
      </w:r>
      <w:r w:rsidR="001F4E00">
        <w:t>remium (EYPP)</w:t>
      </w:r>
    </w:p>
    <w:p w14:paraId="7115B2A0" w14:textId="0B2492BC" w:rsidR="00CA48CA" w:rsidRDefault="00021C71" w:rsidP="005657D9">
      <w:pPr>
        <w:pStyle w:val="DeptBullets"/>
        <w:numPr>
          <w:ilvl w:val="1"/>
          <w:numId w:val="14"/>
        </w:numPr>
        <w:spacing w:before="240" w:after="160" w:line="276" w:lineRule="auto"/>
      </w:pPr>
      <w:r>
        <w:t>funding for the D</w:t>
      </w:r>
      <w:r w:rsidR="00CA48CA">
        <w:t xml:space="preserve">isability </w:t>
      </w:r>
      <w:r>
        <w:t>Access F</w:t>
      </w:r>
      <w:r w:rsidR="00CA48CA">
        <w:t>und (DAF)</w:t>
      </w:r>
    </w:p>
    <w:p w14:paraId="0EC10049" w14:textId="1D9D21BD" w:rsidR="00CA48CA" w:rsidRDefault="00021C71" w:rsidP="005657D9">
      <w:pPr>
        <w:pStyle w:val="DeptBullets"/>
        <w:numPr>
          <w:ilvl w:val="1"/>
          <w:numId w:val="14"/>
        </w:numPr>
        <w:spacing w:before="240" w:after="160" w:line="276" w:lineRule="auto"/>
      </w:pPr>
      <w:r>
        <w:t>supplementary funding for Maintained N</w:t>
      </w:r>
      <w:r w:rsidR="00CA48CA">
        <w:t xml:space="preserve">ursery </w:t>
      </w:r>
      <w:r>
        <w:t>S</w:t>
      </w:r>
      <w:r w:rsidR="001F4E00">
        <w:t>chools (MNS)</w:t>
      </w:r>
    </w:p>
    <w:p w14:paraId="48E4E075" w14:textId="729369D7" w:rsidR="00CA48CA" w:rsidRDefault="00CA48CA" w:rsidP="00586576">
      <w:pPr>
        <w:pStyle w:val="DeptBullets"/>
        <w:numPr>
          <w:ilvl w:val="0"/>
          <w:numId w:val="10"/>
        </w:numPr>
        <w:spacing w:before="240" w:after="160" w:line="276" w:lineRule="auto"/>
        <w:ind w:left="851" w:hanging="567"/>
      </w:pPr>
      <w:r>
        <w:t>The 2018</w:t>
      </w:r>
      <w:r w:rsidR="001F4E00">
        <w:t xml:space="preserve"> to 20</w:t>
      </w:r>
      <w:r>
        <w:t>19 initial allocations for the early years block will be announced in the DSG allocations table in December 2017.</w:t>
      </w:r>
    </w:p>
    <w:p w14:paraId="2CB49A76" w14:textId="77777777" w:rsidR="001F4E00" w:rsidRDefault="004B0E87" w:rsidP="00FB5312">
      <w:pPr>
        <w:pStyle w:val="DeptBullets"/>
        <w:numPr>
          <w:ilvl w:val="0"/>
          <w:numId w:val="10"/>
        </w:numPr>
        <w:spacing w:before="240" w:line="276" w:lineRule="auto"/>
        <w:ind w:left="851" w:hanging="567"/>
      </w:pPr>
      <w:r w:rsidRPr="00DC365F">
        <w:t>This document accompanies</w:t>
      </w:r>
      <w:r w:rsidR="00AF416A">
        <w:t xml:space="preserve"> a</w:t>
      </w:r>
      <w:r w:rsidR="00FB5312">
        <w:t xml:space="preserve"> spreadsheet</w:t>
      </w:r>
      <w:r w:rsidR="00AF416A">
        <w:t xml:space="preserve"> which includes</w:t>
      </w:r>
      <w:r w:rsidR="00FB5312">
        <w:t>:</w:t>
      </w:r>
    </w:p>
    <w:p w14:paraId="0510AFAD" w14:textId="505D1030" w:rsidR="001F4E00" w:rsidRPr="001F4E00" w:rsidRDefault="004B0E87" w:rsidP="001F4E00">
      <w:pPr>
        <w:pStyle w:val="DeptBullets"/>
        <w:numPr>
          <w:ilvl w:val="1"/>
          <w:numId w:val="10"/>
        </w:numPr>
        <w:spacing w:before="240" w:line="276" w:lineRule="auto"/>
        <w:rPr>
          <w:rStyle w:val="Hyperlink"/>
          <w:color w:val="auto"/>
          <w:u w:val="none"/>
        </w:rPr>
      </w:pPr>
      <w:r w:rsidRPr="00DC365F">
        <w:t xml:space="preserve">a </w:t>
      </w:r>
      <w:r w:rsidR="004145E8">
        <w:t xml:space="preserve">table </w:t>
      </w:r>
      <w:r w:rsidR="00FB5312">
        <w:t xml:space="preserve">showing the </w:t>
      </w:r>
      <w:hyperlink r:id="rId15" w:history="1">
        <w:r w:rsidR="00FB5312" w:rsidRPr="001B0323">
          <w:rPr>
            <w:rStyle w:val="Hyperlink"/>
          </w:rPr>
          <w:t>2018</w:t>
        </w:r>
        <w:r w:rsidR="001F4E00">
          <w:rPr>
            <w:rStyle w:val="Hyperlink"/>
          </w:rPr>
          <w:t xml:space="preserve"> to 20</w:t>
        </w:r>
        <w:r w:rsidR="00FB5312" w:rsidRPr="001B0323">
          <w:rPr>
            <w:rStyle w:val="Hyperlink"/>
          </w:rPr>
          <w:t>19 EYNFF hourly rates for three and four year olds</w:t>
        </w:r>
      </w:hyperlink>
      <w:r w:rsidR="009241E6">
        <w:rPr>
          <w:rStyle w:val="Hyperlink"/>
        </w:rPr>
        <w:t xml:space="preserve"> for each </w:t>
      </w:r>
      <w:r w:rsidR="001F4E00">
        <w:rPr>
          <w:rStyle w:val="Hyperlink"/>
        </w:rPr>
        <w:t>local authority</w:t>
      </w:r>
    </w:p>
    <w:p w14:paraId="0EF6D5AE" w14:textId="1BA9DC33" w:rsidR="004B0E87" w:rsidRPr="00DC365F" w:rsidRDefault="00CA48CA" w:rsidP="001F4E00">
      <w:pPr>
        <w:pStyle w:val="DeptBullets"/>
        <w:numPr>
          <w:ilvl w:val="1"/>
          <w:numId w:val="10"/>
        </w:numPr>
        <w:spacing w:before="240" w:line="276" w:lineRule="auto"/>
      </w:pPr>
      <w:r>
        <w:t xml:space="preserve">a </w:t>
      </w:r>
      <w:r w:rsidR="004B0E87" w:rsidRPr="00DC365F">
        <w:t xml:space="preserve">step-by-step table that shows how </w:t>
      </w:r>
      <w:r w:rsidR="00331CFE">
        <w:t xml:space="preserve">each </w:t>
      </w:r>
      <w:r w:rsidR="001F4E00">
        <w:t>local authority</w:t>
      </w:r>
      <w:r w:rsidR="00331CFE">
        <w:t>’s 2018</w:t>
      </w:r>
      <w:r w:rsidR="001F4E00">
        <w:t xml:space="preserve"> to 20</w:t>
      </w:r>
      <w:r w:rsidR="00331CFE">
        <w:t>19 rate has</w:t>
      </w:r>
      <w:r w:rsidR="004C0F08">
        <w:t xml:space="preserve"> been </w:t>
      </w:r>
      <w:proofErr w:type="gramStart"/>
      <w:r w:rsidR="004C0F08">
        <w:t>derived</w:t>
      </w:r>
      <w:proofErr w:type="gramEnd"/>
    </w:p>
    <w:p w14:paraId="72428478" w14:textId="13A67670" w:rsidR="00F46006" w:rsidRPr="00DC365F" w:rsidRDefault="00F46006" w:rsidP="00586576">
      <w:pPr>
        <w:pStyle w:val="DeptBullets"/>
        <w:numPr>
          <w:ilvl w:val="0"/>
          <w:numId w:val="10"/>
        </w:numPr>
        <w:spacing w:before="240" w:line="276" w:lineRule="auto"/>
        <w:ind w:left="851" w:hanging="567"/>
      </w:pPr>
      <w:r w:rsidRPr="00DC365F">
        <w:t>T</w:t>
      </w:r>
      <w:r w:rsidR="000846EC" w:rsidRPr="00DC365F">
        <w:t>he Isles of Scill</w:t>
      </w:r>
      <w:r w:rsidRPr="00DC365F">
        <w:t xml:space="preserve">y </w:t>
      </w:r>
      <w:r w:rsidR="006E75D9" w:rsidRPr="00DC365F">
        <w:t>and City of Lon</w:t>
      </w:r>
      <w:r w:rsidR="004B0E87" w:rsidRPr="00DC365F">
        <w:t xml:space="preserve">don have been excluded from </w:t>
      </w:r>
      <w:r w:rsidR="00331CFE">
        <w:t>this table</w:t>
      </w:r>
      <w:r w:rsidR="004B0E87" w:rsidRPr="00DC365F">
        <w:t>,</w:t>
      </w:r>
      <w:r w:rsidR="006E75D9" w:rsidRPr="00DC365F">
        <w:t xml:space="preserve"> as the</w:t>
      </w:r>
      <w:r w:rsidR="004B0E87" w:rsidRPr="00DC365F">
        <w:t xml:space="preserve">se </w:t>
      </w:r>
      <w:r w:rsidR="001F4E00">
        <w:t xml:space="preserve">local authorities </w:t>
      </w:r>
      <w:r w:rsidR="006E75D9" w:rsidRPr="00DC365F">
        <w:t xml:space="preserve">receive </w:t>
      </w:r>
      <w:r w:rsidRPr="00DC365F">
        <w:t xml:space="preserve">a central grant from </w:t>
      </w:r>
      <w:r w:rsidR="00091400" w:rsidRPr="00DC365F">
        <w:t>the g</w:t>
      </w:r>
      <w:r w:rsidRPr="00DC365F">
        <w:t xml:space="preserve">overnment </w:t>
      </w:r>
      <w:r w:rsidR="0020131E" w:rsidRPr="00DC365F">
        <w:t xml:space="preserve">which </w:t>
      </w:r>
      <w:r w:rsidR="006E75D9" w:rsidRPr="00DC365F">
        <w:t xml:space="preserve">will </w:t>
      </w:r>
      <w:r w:rsidR="0020131E" w:rsidRPr="00DC365F">
        <w:t xml:space="preserve">include </w:t>
      </w:r>
      <w:r w:rsidRPr="00DC365F">
        <w:t>fund</w:t>
      </w:r>
      <w:r w:rsidR="0020131E" w:rsidRPr="00DC365F">
        <w:t>ing for</w:t>
      </w:r>
      <w:r w:rsidRPr="00DC365F">
        <w:t xml:space="preserve"> </w:t>
      </w:r>
      <w:r w:rsidR="00A21FE5" w:rsidRPr="00DC365F">
        <w:t>early years</w:t>
      </w:r>
      <w:r w:rsidRPr="00DC365F">
        <w:t>.</w:t>
      </w:r>
    </w:p>
    <w:p w14:paraId="183B39EA" w14:textId="54EFD147" w:rsidR="00A8561D" w:rsidRDefault="00586576" w:rsidP="00586576">
      <w:pPr>
        <w:pStyle w:val="Heading1"/>
        <w:spacing w:line="276" w:lineRule="auto"/>
      </w:pPr>
      <w:bookmarkStart w:id="6" w:name="_Toc498436530"/>
      <w:bookmarkStart w:id="7" w:name="_Toc444263652"/>
      <w:bookmarkStart w:id="8" w:name="_Toc452640134"/>
      <w:r>
        <w:lastRenderedPageBreak/>
        <w:t>H</w:t>
      </w:r>
      <w:r w:rsidR="00AF23BE">
        <w:t xml:space="preserve">ourly funding rates </w:t>
      </w:r>
      <w:r w:rsidR="00A8561D">
        <w:t xml:space="preserve">for </w:t>
      </w:r>
      <w:proofErr w:type="gramStart"/>
      <w:r w:rsidR="00A8561D">
        <w:t xml:space="preserve">three and </w:t>
      </w:r>
      <w:r w:rsidR="006F2474">
        <w:t>four</w:t>
      </w:r>
      <w:r w:rsidR="00424C46">
        <w:t xml:space="preserve"> </w:t>
      </w:r>
      <w:r w:rsidR="002B5FE9">
        <w:t>year</w:t>
      </w:r>
      <w:r w:rsidR="00424C46">
        <w:t xml:space="preserve"> </w:t>
      </w:r>
      <w:r w:rsidR="002B5FE9">
        <w:t>old</w:t>
      </w:r>
      <w:r w:rsidR="009918BA">
        <w:t>s</w:t>
      </w:r>
      <w:bookmarkEnd w:id="6"/>
      <w:proofErr w:type="gramEnd"/>
    </w:p>
    <w:p w14:paraId="060EB772" w14:textId="04127ACA" w:rsidR="00236C87" w:rsidRPr="008934C3" w:rsidRDefault="00236C87" w:rsidP="00586576">
      <w:pPr>
        <w:pStyle w:val="DeptBullets"/>
        <w:numPr>
          <w:ilvl w:val="0"/>
          <w:numId w:val="10"/>
        </w:numPr>
        <w:spacing w:line="276" w:lineRule="auto"/>
        <w:ind w:left="851" w:hanging="567"/>
      </w:pPr>
      <w:r w:rsidRPr="008934C3">
        <w:t xml:space="preserve">This </w:t>
      </w:r>
      <w:r w:rsidR="00C72309">
        <w:t>section explains how the</w:t>
      </w:r>
      <w:r w:rsidRPr="008934C3">
        <w:t xml:space="preserve"> </w:t>
      </w:r>
      <w:r w:rsidR="001F4E00">
        <w:t>2018 to 2019</w:t>
      </w:r>
      <w:r w:rsidRPr="008934C3">
        <w:t xml:space="preserve"> EYNFF </w:t>
      </w:r>
      <w:r w:rsidR="00331CFE">
        <w:t xml:space="preserve">rates </w:t>
      </w:r>
      <w:r w:rsidR="00BE20CB">
        <w:t xml:space="preserve">for </w:t>
      </w:r>
      <w:r w:rsidR="009241E6">
        <w:t xml:space="preserve">the </w:t>
      </w:r>
      <w:r w:rsidR="000C5DAA">
        <w:t>free early education</w:t>
      </w:r>
      <w:r w:rsidR="00424C46">
        <w:t xml:space="preserve"> entitlement</w:t>
      </w:r>
      <w:r w:rsidR="000C5DAA">
        <w:t>s</w:t>
      </w:r>
      <w:r w:rsidR="00424C46">
        <w:t xml:space="preserve"> for </w:t>
      </w:r>
      <w:proofErr w:type="gramStart"/>
      <w:r w:rsidR="00424C46">
        <w:t>three and four year olds</w:t>
      </w:r>
      <w:proofErr w:type="gramEnd"/>
      <w:r w:rsidR="00424C46" w:rsidDel="00424C46">
        <w:t xml:space="preserve"> </w:t>
      </w:r>
      <w:r w:rsidR="00C72309">
        <w:t>are calculated</w:t>
      </w:r>
      <w:r w:rsidR="00A95EAE">
        <w:t>.</w:t>
      </w:r>
    </w:p>
    <w:p w14:paraId="67CCC9A2" w14:textId="4A11D338" w:rsidR="008422DA" w:rsidRPr="008422DA" w:rsidRDefault="00C72309" w:rsidP="00586576">
      <w:pPr>
        <w:pStyle w:val="ListParagraph"/>
        <w:numPr>
          <w:ilvl w:val="0"/>
          <w:numId w:val="10"/>
        </w:numPr>
        <w:spacing w:line="276" w:lineRule="auto"/>
        <w:ind w:left="851" w:hanging="567"/>
        <w:rPr>
          <w:color w:val="auto"/>
          <w:szCs w:val="20"/>
          <w:lang w:eastAsia="en-US"/>
        </w:rPr>
      </w:pPr>
      <w:r>
        <w:rPr>
          <w:color w:val="auto"/>
          <w:szCs w:val="20"/>
          <w:lang w:eastAsia="en-US"/>
        </w:rPr>
        <w:t xml:space="preserve">In December 2016, </w:t>
      </w:r>
      <w:r w:rsidR="00AF23BE">
        <w:rPr>
          <w:color w:val="auto"/>
          <w:szCs w:val="20"/>
          <w:lang w:eastAsia="en-US"/>
        </w:rPr>
        <w:t xml:space="preserve">we published the </w:t>
      </w:r>
      <w:hyperlink r:id="rId16" w:history="1">
        <w:r w:rsidR="001F4E00">
          <w:rPr>
            <w:rStyle w:val="Hyperlink"/>
            <w:szCs w:val="20"/>
            <w:lang w:eastAsia="en-US"/>
          </w:rPr>
          <w:t>2017 to 2018</w:t>
        </w:r>
        <w:r w:rsidR="00AF23BE" w:rsidRPr="00A14E90">
          <w:rPr>
            <w:rStyle w:val="Hyperlink"/>
            <w:szCs w:val="20"/>
            <w:lang w:eastAsia="en-US"/>
          </w:rPr>
          <w:t xml:space="preserve"> </w:t>
        </w:r>
        <w:r w:rsidR="00B95AD3" w:rsidRPr="00A14E90">
          <w:rPr>
            <w:rStyle w:val="Hyperlink"/>
            <w:szCs w:val="20"/>
            <w:lang w:eastAsia="en-US"/>
          </w:rPr>
          <w:t xml:space="preserve">EYNFF </w:t>
        </w:r>
        <w:r w:rsidR="00AF23BE" w:rsidRPr="00A14E90">
          <w:rPr>
            <w:rStyle w:val="Hyperlink"/>
            <w:szCs w:val="20"/>
            <w:lang w:eastAsia="en-US"/>
          </w:rPr>
          <w:t xml:space="preserve">hourly </w:t>
        </w:r>
        <w:r w:rsidR="00B95AD3" w:rsidRPr="00A14E90">
          <w:rPr>
            <w:rStyle w:val="Hyperlink"/>
            <w:szCs w:val="20"/>
            <w:lang w:eastAsia="en-US"/>
          </w:rPr>
          <w:t>rate</w:t>
        </w:r>
        <w:r w:rsidR="00AF23BE" w:rsidRPr="00A14E90">
          <w:rPr>
            <w:rStyle w:val="Hyperlink"/>
            <w:szCs w:val="20"/>
            <w:lang w:eastAsia="en-US"/>
          </w:rPr>
          <w:t>s</w:t>
        </w:r>
        <w:r w:rsidR="00A14E90" w:rsidRPr="00A14E90">
          <w:rPr>
            <w:rStyle w:val="Hyperlink"/>
            <w:szCs w:val="20"/>
            <w:lang w:eastAsia="en-US"/>
          </w:rPr>
          <w:t xml:space="preserve"> and allocations</w:t>
        </w:r>
      </w:hyperlink>
      <w:r w:rsidR="00AF23BE">
        <w:rPr>
          <w:color w:val="auto"/>
          <w:szCs w:val="20"/>
          <w:lang w:eastAsia="en-US"/>
        </w:rPr>
        <w:t>,</w:t>
      </w:r>
      <w:r w:rsidR="00B95AD3">
        <w:rPr>
          <w:color w:val="auto"/>
          <w:szCs w:val="20"/>
          <w:lang w:eastAsia="en-US"/>
        </w:rPr>
        <w:t xml:space="preserve"> </w:t>
      </w:r>
      <w:r w:rsidR="00AF23BE">
        <w:rPr>
          <w:color w:val="auto"/>
          <w:szCs w:val="20"/>
          <w:lang w:eastAsia="en-US"/>
        </w:rPr>
        <w:t>with and without</w:t>
      </w:r>
      <w:r w:rsidR="00BE20CB">
        <w:rPr>
          <w:color w:val="auto"/>
          <w:szCs w:val="20"/>
          <w:lang w:eastAsia="en-US"/>
        </w:rPr>
        <w:t xml:space="preserve"> Year 1 </w:t>
      </w:r>
      <w:r>
        <w:rPr>
          <w:color w:val="auto"/>
          <w:szCs w:val="20"/>
          <w:lang w:eastAsia="en-US"/>
        </w:rPr>
        <w:t>transitional protections</w:t>
      </w:r>
      <w:r w:rsidR="00AF23BE">
        <w:rPr>
          <w:color w:val="auto"/>
          <w:szCs w:val="20"/>
          <w:lang w:eastAsia="en-US"/>
        </w:rPr>
        <w:t xml:space="preserve"> and capping,</w:t>
      </w:r>
      <w:r>
        <w:rPr>
          <w:color w:val="auto"/>
          <w:szCs w:val="20"/>
          <w:lang w:eastAsia="en-US"/>
        </w:rPr>
        <w:t xml:space="preserve"> together with a </w:t>
      </w:r>
      <w:hyperlink r:id="rId17" w:history="1">
        <w:r w:rsidRPr="00BE20CB">
          <w:rPr>
            <w:rStyle w:val="Hyperlink"/>
            <w:szCs w:val="20"/>
            <w:lang w:eastAsia="en-US"/>
          </w:rPr>
          <w:t>step-by-step guide</w:t>
        </w:r>
      </w:hyperlink>
      <w:r>
        <w:rPr>
          <w:color w:val="auto"/>
          <w:szCs w:val="20"/>
          <w:lang w:eastAsia="en-US"/>
        </w:rPr>
        <w:t xml:space="preserve"> </w:t>
      </w:r>
      <w:r w:rsidR="00A14E90">
        <w:rPr>
          <w:color w:val="auto"/>
          <w:szCs w:val="20"/>
          <w:lang w:eastAsia="en-US"/>
        </w:rPr>
        <w:t>on</w:t>
      </w:r>
      <w:r>
        <w:rPr>
          <w:color w:val="auto"/>
          <w:szCs w:val="20"/>
          <w:lang w:eastAsia="en-US"/>
        </w:rPr>
        <w:t xml:space="preserve"> how </w:t>
      </w:r>
      <w:r w:rsidR="00A14E90">
        <w:rPr>
          <w:color w:val="auto"/>
          <w:szCs w:val="20"/>
          <w:lang w:eastAsia="en-US"/>
        </w:rPr>
        <w:t>they</w:t>
      </w:r>
      <w:r w:rsidR="00BE20CB">
        <w:rPr>
          <w:color w:val="auto"/>
          <w:szCs w:val="20"/>
          <w:lang w:eastAsia="en-US"/>
        </w:rPr>
        <w:t xml:space="preserve"> were</w:t>
      </w:r>
      <w:r>
        <w:rPr>
          <w:color w:val="auto"/>
          <w:szCs w:val="20"/>
          <w:lang w:eastAsia="en-US"/>
        </w:rPr>
        <w:t xml:space="preserve"> derived</w:t>
      </w:r>
      <w:r w:rsidR="008934C3">
        <w:rPr>
          <w:color w:val="auto"/>
          <w:szCs w:val="20"/>
          <w:lang w:eastAsia="en-US"/>
        </w:rPr>
        <w:t>.</w:t>
      </w:r>
    </w:p>
    <w:p w14:paraId="55F7CE6C" w14:textId="0F4B78FD" w:rsidR="00236C87" w:rsidRDefault="008422DA" w:rsidP="00D3498D">
      <w:pPr>
        <w:pStyle w:val="DeptBullets"/>
        <w:numPr>
          <w:ilvl w:val="0"/>
          <w:numId w:val="10"/>
        </w:numPr>
        <w:spacing w:line="276" w:lineRule="auto"/>
        <w:ind w:left="851" w:hanging="567"/>
      </w:pPr>
      <w:r>
        <w:t xml:space="preserve">To calculate </w:t>
      </w:r>
      <w:r w:rsidR="00562290">
        <w:t>a</w:t>
      </w:r>
      <w:r w:rsidR="001F4E00">
        <w:t xml:space="preserve"> local authority’s</w:t>
      </w:r>
      <w:r w:rsidR="00562290">
        <w:t xml:space="preserve"> </w:t>
      </w:r>
      <w:r w:rsidR="001F4E00">
        <w:t>2018 to 2019</w:t>
      </w:r>
      <w:r>
        <w:t xml:space="preserve"> hourly rate, we consider </w:t>
      </w:r>
      <w:r w:rsidR="00562290">
        <w:t xml:space="preserve">their </w:t>
      </w:r>
      <w:r>
        <w:t xml:space="preserve">transition </w:t>
      </w:r>
      <w:r w:rsidR="00562290">
        <w:t>from</w:t>
      </w:r>
      <w:r>
        <w:t xml:space="preserve"> the </w:t>
      </w:r>
      <w:r w:rsidR="001F4E00">
        <w:t>2017 to 2018</w:t>
      </w:r>
      <w:r w:rsidR="00AF23BE">
        <w:t xml:space="preserve"> </w:t>
      </w:r>
      <w:r w:rsidRPr="00E32243">
        <w:t>rate</w:t>
      </w:r>
      <w:r>
        <w:t xml:space="preserve"> with</w:t>
      </w:r>
      <w:r w:rsidR="00562290">
        <w:t xml:space="preserve"> </w:t>
      </w:r>
      <w:r w:rsidR="009514B1">
        <w:t xml:space="preserve">the </w:t>
      </w:r>
      <w:r w:rsidR="00562290">
        <w:t>Year 1</w:t>
      </w:r>
      <w:r>
        <w:t xml:space="preserve"> transitional protection</w:t>
      </w:r>
      <w:r w:rsidR="000C5DAA">
        <w:t>,</w:t>
      </w:r>
      <w:r w:rsidR="00AF23BE">
        <w:t xml:space="preserve"> to the </w:t>
      </w:r>
      <w:r w:rsidR="00535446">
        <w:t xml:space="preserve">Year 1 </w:t>
      </w:r>
      <w:r w:rsidR="00562290">
        <w:t xml:space="preserve">EYNFF </w:t>
      </w:r>
      <w:r w:rsidR="00AF23BE">
        <w:t>rate</w:t>
      </w:r>
      <w:r>
        <w:t xml:space="preserve"> without transitional protections</w:t>
      </w:r>
      <w:r w:rsidR="00562290">
        <w:t xml:space="preserve">, and apply </w:t>
      </w:r>
      <w:r w:rsidR="00CE3FEF">
        <w:t>the transitional protection for Year 2</w:t>
      </w:r>
      <w:r w:rsidR="00562290">
        <w:t xml:space="preserve">. </w:t>
      </w:r>
      <w:r w:rsidR="009514B1">
        <w:t xml:space="preserve">The unrounded </w:t>
      </w:r>
      <w:r w:rsidR="001F4E00">
        <w:t>2017 to 2018</w:t>
      </w:r>
      <w:r w:rsidR="009241E6">
        <w:t xml:space="preserve"> </w:t>
      </w:r>
      <w:r w:rsidR="009514B1">
        <w:t xml:space="preserve">rates are used as the starting point </w:t>
      </w:r>
      <w:r w:rsidR="009241E6">
        <w:t xml:space="preserve">to </w:t>
      </w:r>
      <w:r w:rsidR="009514B1">
        <w:t xml:space="preserve">which we </w:t>
      </w:r>
      <w:r w:rsidR="009241E6">
        <w:t xml:space="preserve">apply </w:t>
      </w:r>
      <w:r w:rsidR="009514B1">
        <w:t>the Year 2 transitional protection.</w:t>
      </w:r>
    </w:p>
    <w:p w14:paraId="4565A89F" w14:textId="1625D330" w:rsidR="00D97437" w:rsidRPr="00DC365F" w:rsidRDefault="00562290" w:rsidP="00551703">
      <w:pPr>
        <w:pStyle w:val="DeptBullets"/>
        <w:numPr>
          <w:ilvl w:val="0"/>
          <w:numId w:val="10"/>
        </w:numPr>
        <w:spacing w:line="276" w:lineRule="auto"/>
        <w:ind w:left="851" w:hanging="567"/>
      </w:pPr>
      <w:r>
        <w:t>The</w:t>
      </w:r>
      <w:r w:rsidR="00CE3FEF">
        <w:t xml:space="preserve"> Year 2 transitional protection</w:t>
      </w:r>
      <w:r>
        <w:t xml:space="preserve"> </w:t>
      </w:r>
      <w:r w:rsidR="00CE3FEF">
        <w:t xml:space="preserve">is a </w:t>
      </w:r>
      <w:r w:rsidR="00FE0F6D" w:rsidRPr="00CE3FEF">
        <w:t>5% annual loss cap</w:t>
      </w:r>
      <w:r w:rsidR="001F4E00">
        <w:t>; that is</w:t>
      </w:r>
      <w:r w:rsidR="00CE3FEF">
        <w:t xml:space="preserve">, </w:t>
      </w:r>
      <w:r w:rsidR="00931C62">
        <w:t>n</w:t>
      </w:r>
      <w:r w:rsidR="00BE20CB">
        <w:t xml:space="preserve">o </w:t>
      </w:r>
      <w:r w:rsidR="001F4E00">
        <w:t xml:space="preserve">local authority </w:t>
      </w:r>
      <w:r w:rsidR="00D97437">
        <w:t xml:space="preserve">will see a decrease of more than 5% from their </w:t>
      </w:r>
      <w:r w:rsidR="001F4E00">
        <w:t>2017 to 2018</w:t>
      </w:r>
      <w:r w:rsidR="00D97437">
        <w:t xml:space="preserve"> hourly rate</w:t>
      </w:r>
      <w:r w:rsidR="0068245B" w:rsidRPr="00DC365F">
        <w:t>.</w:t>
      </w:r>
      <w:r w:rsidR="00CE3FEF">
        <w:t xml:space="preserve"> To ensure that the total allocations meet the available budget, this requires an </w:t>
      </w:r>
      <w:r w:rsidR="00FE0F6D" w:rsidRPr="00CE3FEF">
        <w:t>annual gains cap</w:t>
      </w:r>
      <w:r w:rsidR="00CE3FEF">
        <w:t xml:space="preserve"> of 14.5%</w:t>
      </w:r>
      <w:r w:rsidR="001F4E00">
        <w:t>; that is,</w:t>
      </w:r>
      <w:r w:rsidR="00CE3FEF">
        <w:t xml:space="preserve"> </w:t>
      </w:r>
      <w:r w:rsidR="00931C62">
        <w:t>n</w:t>
      </w:r>
      <w:r w:rsidR="00D97437">
        <w:t xml:space="preserve">o </w:t>
      </w:r>
      <w:r w:rsidR="001F4E00">
        <w:t xml:space="preserve">local authority </w:t>
      </w:r>
      <w:r w:rsidR="00D97437">
        <w:t xml:space="preserve">will see an increase of more than 14.5% from their </w:t>
      </w:r>
      <w:r w:rsidR="001F4E00">
        <w:t>2017 to 2018</w:t>
      </w:r>
      <w:r w:rsidR="00D97437">
        <w:t xml:space="preserve"> hourly rate. </w:t>
      </w:r>
    </w:p>
    <w:p w14:paraId="3B3A3952" w14:textId="453C8C7C" w:rsidR="00FE0F6D" w:rsidRDefault="00FE0F6D" w:rsidP="00586576">
      <w:pPr>
        <w:pStyle w:val="DeptBullets"/>
        <w:numPr>
          <w:ilvl w:val="0"/>
          <w:numId w:val="10"/>
        </w:numPr>
        <w:spacing w:line="276" w:lineRule="auto"/>
        <w:ind w:left="851" w:hanging="567"/>
      </w:pPr>
      <w:r>
        <w:t xml:space="preserve">The gains cap is set so that the total funding gain for </w:t>
      </w:r>
      <w:r w:rsidR="000C5DAA">
        <w:t xml:space="preserve">the </w:t>
      </w:r>
      <w:r w:rsidR="001F4E00">
        <w:t xml:space="preserve">local authorities </w:t>
      </w:r>
      <w:r w:rsidR="000C5DAA">
        <w:t>seeing an increase</w:t>
      </w:r>
      <w:r>
        <w:t xml:space="preserve"> balances the total funding decrease for </w:t>
      </w:r>
      <w:r w:rsidR="000C5DAA">
        <w:t xml:space="preserve">the </w:t>
      </w:r>
      <w:r w:rsidR="001F4E00">
        <w:t xml:space="preserve">local authorities </w:t>
      </w:r>
      <w:r>
        <w:t xml:space="preserve">facing </w:t>
      </w:r>
      <w:r w:rsidR="000C5DAA">
        <w:t>a reduction</w:t>
      </w:r>
      <w:r>
        <w:t>. This approach</w:t>
      </w:r>
      <w:r w:rsidR="00AE1ADC">
        <w:t>, which is the same as in Year 1,</w:t>
      </w:r>
      <w:r>
        <w:t xml:space="preserve"> ensures that the total allocations meet the available budget.</w:t>
      </w:r>
    </w:p>
    <w:p w14:paraId="3B66ECE6" w14:textId="1C90B3E4" w:rsidR="00CE3FEF" w:rsidRDefault="00CE3FEF" w:rsidP="00586576">
      <w:pPr>
        <w:pStyle w:val="DeptBullets"/>
        <w:numPr>
          <w:ilvl w:val="0"/>
          <w:numId w:val="10"/>
        </w:numPr>
        <w:spacing w:line="276" w:lineRule="auto"/>
        <w:ind w:left="851" w:hanging="567"/>
      </w:pPr>
      <w:r>
        <w:t xml:space="preserve">The Year 2 transitional protection, and corresponding gains cap, are the only reason for any differences between </w:t>
      </w:r>
      <w:r w:rsidR="001F4E00">
        <w:t xml:space="preserve">local authorities’ </w:t>
      </w:r>
      <w:r>
        <w:t xml:space="preserve">funding rates in </w:t>
      </w:r>
      <w:r w:rsidR="001F4E00">
        <w:t>2017 to 2018</w:t>
      </w:r>
      <w:r>
        <w:t xml:space="preserve"> and </w:t>
      </w:r>
      <w:r w:rsidR="001F4E00">
        <w:t>2018 to 2019.</w:t>
      </w:r>
    </w:p>
    <w:p w14:paraId="115E5301" w14:textId="6F401809" w:rsidR="00CE3FEF" w:rsidRDefault="00CE3FEF" w:rsidP="00586576">
      <w:pPr>
        <w:pStyle w:val="DeptBullets"/>
        <w:numPr>
          <w:ilvl w:val="0"/>
          <w:numId w:val="10"/>
        </w:numPr>
        <w:spacing w:line="276" w:lineRule="auto"/>
        <w:ind w:left="851" w:hanging="567"/>
      </w:pPr>
      <w:r>
        <w:t xml:space="preserve">For further detail on derivation of the </w:t>
      </w:r>
      <w:r w:rsidR="001F4E00">
        <w:t>2018 to 2019</w:t>
      </w:r>
      <w:r>
        <w:t xml:space="preserve"> rates please refer to the </w:t>
      </w:r>
      <w:hyperlink r:id="rId18" w:history="1">
        <w:r w:rsidR="00112278">
          <w:rPr>
            <w:rStyle w:val="Hyperlink"/>
          </w:rPr>
          <w:t>EYNFF step-by-s</w:t>
        </w:r>
        <w:r w:rsidRPr="008B46F1">
          <w:rPr>
            <w:rStyle w:val="Hyperlink"/>
          </w:rPr>
          <w:t>tep table.</w:t>
        </w:r>
      </w:hyperlink>
    </w:p>
    <w:p w14:paraId="02E42D17" w14:textId="77777777" w:rsidR="00B95AD3" w:rsidRPr="00DC365F" w:rsidRDefault="00B95AD3" w:rsidP="00586576">
      <w:pPr>
        <w:pStyle w:val="DeptBullets"/>
        <w:numPr>
          <w:ilvl w:val="0"/>
          <w:numId w:val="0"/>
        </w:numPr>
        <w:spacing w:line="276" w:lineRule="auto"/>
        <w:ind w:left="851"/>
      </w:pPr>
    </w:p>
    <w:p w14:paraId="62EF10DF" w14:textId="2456B81E" w:rsidR="00AF23BE" w:rsidRDefault="00B338CE" w:rsidP="00586576">
      <w:pPr>
        <w:pStyle w:val="Heading1"/>
        <w:spacing w:line="276" w:lineRule="auto"/>
      </w:pPr>
      <w:bookmarkStart w:id="9" w:name="_Toc498436531"/>
      <w:r>
        <w:lastRenderedPageBreak/>
        <w:t>F</w:t>
      </w:r>
      <w:r w:rsidR="00CA48CA" w:rsidRPr="00586576">
        <w:t xml:space="preserve">unding </w:t>
      </w:r>
      <w:r w:rsidR="00586576" w:rsidRPr="00586576">
        <w:t>for</w:t>
      </w:r>
      <w:r w:rsidR="00586576">
        <w:t xml:space="preserve"> </w:t>
      </w:r>
      <w:r w:rsidR="007C08C3">
        <w:t xml:space="preserve">the </w:t>
      </w:r>
      <w:r w:rsidR="00560BDF">
        <w:t>early years block</w:t>
      </w:r>
      <w:r w:rsidR="00CE3FEF">
        <w:t xml:space="preserve"> in </w:t>
      </w:r>
      <w:r w:rsidR="001F4E00">
        <w:t>2018 to 2019</w:t>
      </w:r>
      <w:bookmarkEnd w:id="9"/>
    </w:p>
    <w:p w14:paraId="1DABE454" w14:textId="61981054" w:rsidR="000C23AA" w:rsidRDefault="000C23AA" w:rsidP="00586576">
      <w:pPr>
        <w:pStyle w:val="DeptBullets"/>
        <w:numPr>
          <w:ilvl w:val="0"/>
          <w:numId w:val="10"/>
        </w:numPr>
        <w:spacing w:line="276" w:lineRule="auto"/>
        <w:ind w:left="851" w:hanging="567"/>
      </w:pPr>
      <w:r>
        <w:t>Initial allocations for the</w:t>
      </w:r>
      <w:r w:rsidR="00AE1ADC">
        <w:t xml:space="preserve"> </w:t>
      </w:r>
      <w:r w:rsidR="009B3FF7">
        <w:t>e</w:t>
      </w:r>
      <w:r>
        <w:t xml:space="preserve">arly </w:t>
      </w:r>
      <w:r w:rsidR="009B3FF7">
        <w:t>y</w:t>
      </w:r>
      <w:r>
        <w:t>ears block</w:t>
      </w:r>
      <w:r w:rsidR="00AE1ADC">
        <w:t xml:space="preserve"> of the </w:t>
      </w:r>
      <w:r w:rsidR="009B3FF7">
        <w:t>DSG</w:t>
      </w:r>
      <w:r>
        <w:t>, together with a detailed technical note, will be published in December as usual. This section explains the basis on which these initial allocations will be produced, taking each of the following funding streams in turn:</w:t>
      </w:r>
    </w:p>
    <w:p w14:paraId="39641D0B" w14:textId="121E7FBF" w:rsidR="00586576" w:rsidRDefault="00586576" w:rsidP="007532B3">
      <w:pPr>
        <w:pStyle w:val="DeptBullets"/>
        <w:numPr>
          <w:ilvl w:val="1"/>
          <w:numId w:val="24"/>
        </w:numPr>
        <w:spacing w:line="276" w:lineRule="auto"/>
      </w:pPr>
      <w:r>
        <w:t>the universal 15 hours entitleme</w:t>
      </w:r>
      <w:r w:rsidR="001F4E00">
        <w:t xml:space="preserve">nt for </w:t>
      </w:r>
      <w:proofErr w:type="gramStart"/>
      <w:r w:rsidR="001F4E00">
        <w:t>three and four year olds</w:t>
      </w:r>
      <w:proofErr w:type="gramEnd"/>
    </w:p>
    <w:p w14:paraId="50BAFBB9" w14:textId="38941C18" w:rsidR="00586576" w:rsidRDefault="00586576" w:rsidP="007532B3">
      <w:pPr>
        <w:pStyle w:val="DeptBullets"/>
        <w:numPr>
          <w:ilvl w:val="1"/>
          <w:numId w:val="24"/>
        </w:numPr>
        <w:spacing w:line="276" w:lineRule="auto"/>
      </w:pPr>
      <w:r w:rsidRPr="00272412">
        <w:rPr>
          <w:color w:val="0D0D0D"/>
        </w:rPr>
        <w:t xml:space="preserve">the additional </w:t>
      </w:r>
      <w:r>
        <w:rPr>
          <w:color w:val="0D0D0D"/>
        </w:rPr>
        <w:t>15 hours</w:t>
      </w:r>
      <w:r w:rsidRPr="00272412">
        <w:rPr>
          <w:color w:val="0D0D0D"/>
        </w:rPr>
        <w:t xml:space="preserve"> entitlement for </w:t>
      </w:r>
      <w:proofErr w:type="gramStart"/>
      <w:r w:rsidRPr="00272412">
        <w:rPr>
          <w:color w:val="0D0D0D"/>
        </w:rPr>
        <w:t>three and four year old</w:t>
      </w:r>
      <w:proofErr w:type="gramEnd"/>
      <w:r w:rsidR="00021C71">
        <w:rPr>
          <w:color w:val="0D0D0D"/>
        </w:rPr>
        <w:t xml:space="preserve"> children of eligible working parents</w:t>
      </w:r>
    </w:p>
    <w:p w14:paraId="41E65E63" w14:textId="5790A981" w:rsidR="007C08C3" w:rsidRDefault="00586576" w:rsidP="007532B3">
      <w:pPr>
        <w:pStyle w:val="DeptBullets"/>
        <w:numPr>
          <w:ilvl w:val="1"/>
          <w:numId w:val="24"/>
        </w:numPr>
        <w:spacing w:line="276" w:lineRule="auto"/>
      </w:pPr>
      <w:r w:rsidRPr="00272412">
        <w:rPr>
          <w:color w:val="0D0D0D"/>
        </w:rPr>
        <w:t xml:space="preserve">the </w:t>
      </w:r>
      <w:r>
        <w:rPr>
          <w:color w:val="0D0D0D"/>
        </w:rPr>
        <w:t>15 hours</w:t>
      </w:r>
      <w:r w:rsidRPr="00272412">
        <w:rPr>
          <w:color w:val="0D0D0D"/>
        </w:rPr>
        <w:t xml:space="preserve"> entitlement for disadvantaged </w:t>
      </w:r>
      <w:proofErr w:type="gramStart"/>
      <w:r w:rsidRPr="00272412">
        <w:rPr>
          <w:color w:val="0D0D0D"/>
        </w:rPr>
        <w:t>two year</w:t>
      </w:r>
      <w:proofErr w:type="gramEnd"/>
      <w:r w:rsidRPr="00272412">
        <w:rPr>
          <w:color w:val="0D0D0D"/>
        </w:rPr>
        <w:t xml:space="preserve"> olds</w:t>
      </w:r>
    </w:p>
    <w:p w14:paraId="3057C20C" w14:textId="0361B3DB" w:rsidR="00586576" w:rsidRDefault="00586576" w:rsidP="007532B3">
      <w:pPr>
        <w:pStyle w:val="DeptBullets"/>
        <w:numPr>
          <w:ilvl w:val="1"/>
          <w:numId w:val="24"/>
        </w:numPr>
        <w:spacing w:line="276" w:lineRule="auto"/>
      </w:pPr>
      <w:r>
        <w:t>the E</w:t>
      </w:r>
      <w:r w:rsidR="001F4E00">
        <w:t>arly Years Pupil Premium (EYPP)</w:t>
      </w:r>
    </w:p>
    <w:p w14:paraId="31BC1808" w14:textId="3949AB5A" w:rsidR="00586576" w:rsidRDefault="00586576" w:rsidP="007532B3">
      <w:pPr>
        <w:pStyle w:val="DeptBullets"/>
        <w:numPr>
          <w:ilvl w:val="1"/>
          <w:numId w:val="24"/>
        </w:numPr>
        <w:spacing w:line="276" w:lineRule="auto"/>
      </w:pPr>
      <w:r>
        <w:t>the D</w:t>
      </w:r>
      <w:r w:rsidR="001F4E00">
        <w:t>isability Access Fund (DAF)</w:t>
      </w:r>
    </w:p>
    <w:p w14:paraId="7646FA34" w14:textId="730ECC63" w:rsidR="00E32243" w:rsidRDefault="00586576" w:rsidP="00E32243">
      <w:pPr>
        <w:pStyle w:val="DeptBullets"/>
        <w:numPr>
          <w:ilvl w:val="1"/>
          <w:numId w:val="24"/>
        </w:numPr>
        <w:spacing w:line="276" w:lineRule="auto"/>
      </w:pPr>
      <w:r>
        <w:t>the supplementary funding for M</w:t>
      </w:r>
      <w:r w:rsidR="001F4E00">
        <w:t>aintained Nursery Schools (MNS)</w:t>
      </w:r>
    </w:p>
    <w:p w14:paraId="5354E6CE" w14:textId="425999D4" w:rsidR="00861341" w:rsidRDefault="00586576" w:rsidP="00A45DC3">
      <w:pPr>
        <w:pStyle w:val="Heading2"/>
        <w:numPr>
          <w:ilvl w:val="0"/>
          <w:numId w:val="23"/>
        </w:numPr>
        <w:spacing w:line="276" w:lineRule="auto"/>
        <w:ind w:left="567" w:hanging="425"/>
      </w:pPr>
      <w:bookmarkStart w:id="10" w:name="_Toc498436532"/>
      <w:r>
        <w:t>Th</w:t>
      </w:r>
      <w:r w:rsidR="00976849">
        <w:t>e</w:t>
      </w:r>
      <w:r>
        <w:t xml:space="preserve"> universal </w:t>
      </w:r>
      <w:r w:rsidR="005D09BF">
        <w:t xml:space="preserve">15 </w:t>
      </w:r>
      <w:r>
        <w:t>hours</w:t>
      </w:r>
      <w:r w:rsidR="00976849">
        <w:t xml:space="preserve"> entitlement for </w:t>
      </w:r>
      <w:proofErr w:type="gramStart"/>
      <w:r w:rsidR="00976849">
        <w:t>three and four year olds</w:t>
      </w:r>
      <w:bookmarkEnd w:id="10"/>
      <w:proofErr w:type="gramEnd"/>
    </w:p>
    <w:p w14:paraId="491B35B6" w14:textId="1C0CB57E" w:rsidR="00586576" w:rsidRDefault="00586576" w:rsidP="00586576">
      <w:pPr>
        <w:pStyle w:val="DeptBullets"/>
        <w:numPr>
          <w:ilvl w:val="0"/>
          <w:numId w:val="10"/>
        </w:numPr>
        <w:spacing w:line="276" w:lineRule="auto"/>
        <w:ind w:left="851" w:hanging="567"/>
      </w:pPr>
      <w:r>
        <w:t xml:space="preserve">The </w:t>
      </w:r>
      <w:hyperlink r:id="rId19" w:history="1">
        <w:r w:rsidR="001F4E00">
          <w:rPr>
            <w:rStyle w:val="Hyperlink"/>
          </w:rPr>
          <w:t>2018 to 2019</w:t>
        </w:r>
        <w:r w:rsidRPr="00112278">
          <w:rPr>
            <w:rStyle w:val="Hyperlink"/>
          </w:rPr>
          <w:t xml:space="preserve"> </w:t>
        </w:r>
        <w:r w:rsidR="00D23CB1" w:rsidRPr="00112278">
          <w:rPr>
            <w:rStyle w:val="Hyperlink"/>
          </w:rPr>
          <w:t xml:space="preserve">EYNFF </w:t>
        </w:r>
        <w:r w:rsidRPr="00112278">
          <w:rPr>
            <w:rStyle w:val="Hyperlink"/>
          </w:rPr>
          <w:t>hourly funding rates</w:t>
        </w:r>
      </w:hyperlink>
      <w:r>
        <w:t xml:space="preserve"> for</w:t>
      </w:r>
      <w:r w:rsidR="00562290">
        <w:t xml:space="preserve"> the</w:t>
      </w:r>
      <w:r>
        <w:t xml:space="preserve"> universal 15 hours </w:t>
      </w:r>
      <w:r w:rsidR="00562290">
        <w:t xml:space="preserve">entitlement are </w:t>
      </w:r>
      <w:r>
        <w:t>as anno</w:t>
      </w:r>
      <w:r w:rsidR="00E32243">
        <w:t>unced in the accompanying table.</w:t>
      </w:r>
    </w:p>
    <w:p w14:paraId="5F304CAA" w14:textId="4FF9246C" w:rsidR="009514B1" w:rsidRDefault="009514B1" w:rsidP="009514B1">
      <w:pPr>
        <w:pStyle w:val="DeptBullets"/>
        <w:numPr>
          <w:ilvl w:val="0"/>
          <w:numId w:val="10"/>
        </w:numPr>
        <w:spacing w:line="276" w:lineRule="auto"/>
        <w:ind w:left="851" w:hanging="567"/>
      </w:pPr>
      <w:r>
        <w:t xml:space="preserve">Allocations for the universal 15 hours entitlement will be calculated using the </w:t>
      </w:r>
      <w:r w:rsidR="001F4E00">
        <w:t>local authority’s 2018 to 2019</w:t>
      </w:r>
      <w:r>
        <w:t xml:space="preserve"> rate rounded to the nearest penny.</w:t>
      </w:r>
    </w:p>
    <w:p w14:paraId="33E85891" w14:textId="0A3B16A1" w:rsidR="00586576" w:rsidRDefault="00586576" w:rsidP="00586576">
      <w:pPr>
        <w:pStyle w:val="DeptBullets"/>
        <w:numPr>
          <w:ilvl w:val="0"/>
          <w:numId w:val="10"/>
        </w:numPr>
        <w:spacing w:line="276" w:lineRule="auto"/>
        <w:ind w:left="851" w:hanging="567"/>
      </w:pPr>
      <w:r>
        <w:t xml:space="preserve">The EYNFF allocation for </w:t>
      </w:r>
      <w:r w:rsidR="00562290">
        <w:t xml:space="preserve">the </w:t>
      </w:r>
      <w:r>
        <w:t xml:space="preserve">universal 15 hours </w:t>
      </w:r>
      <w:r w:rsidR="00562290">
        <w:t xml:space="preserve">entitlement </w:t>
      </w:r>
      <w:r>
        <w:t>will be calculated using part-time equivalent (PTE) child numbers. 1 PTE is defined as a child taking up 15 hours per week over 38 weeks.</w:t>
      </w:r>
    </w:p>
    <w:p w14:paraId="739A7728" w14:textId="761203AF" w:rsidR="00586576" w:rsidRDefault="00586576" w:rsidP="00586576">
      <w:pPr>
        <w:pStyle w:val="DeptBullets"/>
        <w:numPr>
          <w:ilvl w:val="0"/>
          <w:numId w:val="10"/>
        </w:numPr>
        <w:spacing w:line="276" w:lineRule="auto"/>
        <w:ind w:left="851" w:hanging="567"/>
      </w:pPr>
      <w:r>
        <w:t xml:space="preserve">PTE child counts from the January 2017 </w:t>
      </w:r>
      <w:r w:rsidR="007C08C3">
        <w:t>Schools, Early Years and Alternative Provision censuses</w:t>
      </w:r>
      <w:r>
        <w:t xml:space="preserve"> will be used to calculate the initial funding allocation.</w:t>
      </w:r>
    </w:p>
    <w:p w14:paraId="07DA3A7D" w14:textId="2012A404" w:rsidR="00586576" w:rsidRDefault="00586576" w:rsidP="00586576">
      <w:pPr>
        <w:pStyle w:val="DeptBullets"/>
        <w:numPr>
          <w:ilvl w:val="0"/>
          <w:numId w:val="10"/>
        </w:numPr>
        <w:spacing w:line="276" w:lineRule="auto"/>
        <w:ind w:left="851" w:hanging="567"/>
      </w:pPr>
      <w:r>
        <w:t xml:space="preserve">The initial allocation for each </w:t>
      </w:r>
      <w:r w:rsidR="009B3FF7">
        <w:t>local authority</w:t>
      </w:r>
      <w:r>
        <w:t xml:space="preserve"> will be calculated as follows:</w:t>
      </w:r>
    </w:p>
    <w:p w14:paraId="5A0271C0" w14:textId="0C97CD91" w:rsidR="00586576" w:rsidRDefault="007E24D3" w:rsidP="005657D9">
      <w:pPr>
        <w:pStyle w:val="DeptBullets"/>
        <w:numPr>
          <w:ilvl w:val="1"/>
          <w:numId w:val="15"/>
        </w:numPr>
        <w:spacing w:line="276" w:lineRule="auto"/>
      </w:pPr>
      <w:r>
        <w:t>t</w:t>
      </w:r>
      <w:r w:rsidR="00586576">
        <w:t>he January 2017 census data gives</w:t>
      </w:r>
      <w:r w:rsidR="00562290">
        <w:t xml:space="preserve"> the</w:t>
      </w:r>
      <w:r w:rsidR="00586576">
        <w:t xml:space="preserve"> </w:t>
      </w:r>
      <w:r w:rsidR="00B338CE">
        <w:t xml:space="preserve">number of PTEs </w:t>
      </w:r>
      <w:r w:rsidR="00586576">
        <w:t xml:space="preserve">taking up the universal 15 hours </w:t>
      </w:r>
      <w:proofErr w:type="gramStart"/>
      <w:r w:rsidR="00586576">
        <w:t>entitlement</w:t>
      </w:r>
      <w:proofErr w:type="gramEnd"/>
    </w:p>
    <w:p w14:paraId="2AD2B043" w14:textId="659D1EF5" w:rsidR="00586576" w:rsidRDefault="007E24D3" w:rsidP="005657D9">
      <w:pPr>
        <w:pStyle w:val="DeptBullets"/>
        <w:numPr>
          <w:ilvl w:val="1"/>
          <w:numId w:val="15"/>
        </w:numPr>
        <w:spacing w:line="276" w:lineRule="auto"/>
      </w:pPr>
      <w:r>
        <w:t>t</w:t>
      </w:r>
      <w:r w:rsidR="00976849">
        <w:t xml:space="preserve">his is multiplied by </w:t>
      </w:r>
      <w:r w:rsidR="00586576">
        <w:t xml:space="preserve">15 hours x 38 weeks x </w:t>
      </w:r>
      <w:r w:rsidR="001F4E00">
        <w:t>the local authority’s</w:t>
      </w:r>
      <w:r w:rsidR="00586576">
        <w:t xml:space="preserve"> </w:t>
      </w:r>
      <w:r w:rsidR="001F4E00">
        <w:t>2018 to 2019</w:t>
      </w:r>
      <w:r w:rsidR="00586576">
        <w:t xml:space="preserve"> EYNFF hourly </w:t>
      </w:r>
      <w:proofErr w:type="gramStart"/>
      <w:r w:rsidR="00586576">
        <w:t>rate</w:t>
      </w:r>
      <w:proofErr w:type="gramEnd"/>
    </w:p>
    <w:p w14:paraId="09F33D03" w14:textId="10584E9D" w:rsidR="00976849" w:rsidRDefault="007E24D3" w:rsidP="005657D9">
      <w:pPr>
        <w:pStyle w:val="DeptBullets"/>
        <w:numPr>
          <w:ilvl w:val="1"/>
          <w:numId w:val="15"/>
        </w:numPr>
        <w:spacing w:line="276" w:lineRule="auto"/>
      </w:pPr>
      <w:r>
        <w:t>t</w:t>
      </w:r>
      <w:r w:rsidR="00586576">
        <w:t xml:space="preserve">his gives the </w:t>
      </w:r>
      <w:r w:rsidR="00976849">
        <w:t xml:space="preserve">initial allocation for </w:t>
      </w:r>
      <w:r w:rsidR="00B338CE">
        <w:t xml:space="preserve">the universal </w:t>
      </w:r>
      <w:r w:rsidR="00562290">
        <w:t xml:space="preserve">15 hours </w:t>
      </w:r>
      <w:r w:rsidR="00B338CE">
        <w:t xml:space="preserve">entitlement in </w:t>
      </w:r>
      <w:r w:rsidR="001F4E00">
        <w:t xml:space="preserve">2018 to </w:t>
      </w:r>
      <w:proofErr w:type="gramStart"/>
      <w:r w:rsidR="001F4E00">
        <w:t>2019</w:t>
      </w:r>
      <w:proofErr w:type="gramEnd"/>
    </w:p>
    <w:p w14:paraId="4809885B" w14:textId="0F1077D9" w:rsidR="009C1212" w:rsidRDefault="00976849" w:rsidP="00A45DC3">
      <w:pPr>
        <w:pStyle w:val="Heading2"/>
        <w:numPr>
          <w:ilvl w:val="0"/>
          <w:numId w:val="23"/>
        </w:numPr>
        <w:spacing w:line="276" w:lineRule="auto"/>
        <w:ind w:left="567" w:hanging="425"/>
      </w:pPr>
      <w:bookmarkStart w:id="11" w:name="_Toc498436533"/>
      <w:r>
        <w:lastRenderedPageBreak/>
        <w:t>The</w:t>
      </w:r>
      <w:r w:rsidRPr="00976849">
        <w:t xml:space="preserve"> additional 15 hours entitlement for </w:t>
      </w:r>
      <w:proofErr w:type="gramStart"/>
      <w:r w:rsidRPr="00976849">
        <w:t>three and four year</w:t>
      </w:r>
      <w:r>
        <w:t xml:space="preserve"> old</w:t>
      </w:r>
      <w:proofErr w:type="gramEnd"/>
      <w:r w:rsidR="00021C71">
        <w:t xml:space="preserve"> children of eligible working parents</w:t>
      </w:r>
      <w:bookmarkEnd w:id="11"/>
    </w:p>
    <w:p w14:paraId="3064C0CA" w14:textId="29D05F93" w:rsidR="00976849" w:rsidRDefault="00976849" w:rsidP="00976849">
      <w:pPr>
        <w:pStyle w:val="DeptBullets"/>
        <w:numPr>
          <w:ilvl w:val="0"/>
          <w:numId w:val="10"/>
        </w:numPr>
        <w:spacing w:line="276" w:lineRule="auto"/>
        <w:ind w:left="851" w:hanging="567"/>
      </w:pPr>
      <w:r>
        <w:t xml:space="preserve">The </w:t>
      </w:r>
      <w:r w:rsidR="00F400A2">
        <w:t xml:space="preserve">EYNFF </w:t>
      </w:r>
      <w:r>
        <w:t xml:space="preserve">hourly funding rates for the additional 15 hours </w:t>
      </w:r>
      <w:r w:rsidR="007C08C3">
        <w:t xml:space="preserve">entitlement </w:t>
      </w:r>
      <w:r>
        <w:t>are the same</w:t>
      </w:r>
      <w:r w:rsidR="00562290">
        <w:t xml:space="preserve"> as the rates for the universal 15 hours entitlement</w:t>
      </w:r>
      <w:r>
        <w:t>.</w:t>
      </w:r>
    </w:p>
    <w:p w14:paraId="75680A57" w14:textId="5C655F72" w:rsidR="009514B1" w:rsidRDefault="009514B1" w:rsidP="009514B1">
      <w:pPr>
        <w:pStyle w:val="DeptBullets"/>
        <w:numPr>
          <w:ilvl w:val="0"/>
          <w:numId w:val="10"/>
        </w:numPr>
        <w:spacing w:line="276" w:lineRule="auto"/>
        <w:ind w:left="851" w:hanging="567"/>
      </w:pPr>
      <w:r>
        <w:t xml:space="preserve">Allocations for the additional 15 hours entitlement will be calculated using the </w:t>
      </w:r>
      <w:r w:rsidR="009B3FF7">
        <w:t>local authority’s</w:t>
      </w:r>
      <w:r>
        <w:t xml:space="preserve"> </w:t>
      </w:r>
      <w:r w:rsidR="001F4E00">
        <w:t>2018 to 2019</w:t>
      </w:r>
      <w:r>
        <w:t xml:space="preserve"> rate rounded to the nearest penny.</w:t>
      </w:r>
    </w:p>
    <w:p w14:paraId="60173DF1" w14:textId="44F366F7" w:rsidR="00976849" w:rsidRDefault="007C08C3" w:rsidP="00976849">
      <w:pPr>
        <w:pStyle w:val="DeptBullets"/>
        <w:numPr>
          <w:ilvl w:val="0"/>
          <w:numId w:val="10"/>
        </w:numPr>
        <w:spacing w:line="276" w:lineRule="auto"/>
        <w:ind w:left="851" w:hanging="567"/>
      </w:pPr>
      <w:r>
        <w:t xml:space="preserve">Data on how many </w:t>
      </w:r>
      <w:proofErr w:type="gramStart"/>
      <w:r>
        <w:t>three and four year old</w:t>
      </w:r>
      <w:proofErr w:type="gramEnd"/>
      <w:r>
        <w:t xml:space="preserve"> </w:t>
      </w:r>
      <w:r w:rsidR="00E8700C">
        <w:t xml:space="preserve">children </w:t>
      </w:r>
      <w:r>
        <w:t xml:space="preserve">are taking up their additional hours entitlement is not yet available from the </w:t>
      </w:r>
      <w:r w:rsidR="009B3FF7">
        <w:t>s</w:t>
      </w:r>
      <w:r>
        <w:t xml:space="preserve">chools, </w:t>
      </w:r>
      <w:r w:rsidR="009B3FF7">
        <w:t>e</w:t>
      </w:r>
      <w:r>
        <w:t xml:space="preserve">arly </w:t>
      </w:r>
      <w:r w:rsidR="009B3FF7">
        <w:t>y</w:t>
      </w:r>
      <w:r>
        <w:t>ears</w:t>
      </w:r>
      <w:r w:rsidR="009B3FF7">
        <w:t>,</w:t>
      </w:r>
      <w:r>
        <w:t xml:space="preserve"> and </w:t>
      </w:r>
      <w:r w:rsidR="009B3FF7">
        <w:t>a</w:t>
      </w:r>
      <w:r>
        <w:t xml:space="preserve">lternative </w:t>
      </w:r>
      <w:r w:rsidR="009B3FF7">
        <w:t>p</w:t>
      </w:r>
      <w:r>
        <w:t>rovision censuses</w:t>
      </w:r>
      <w:r w:rsidR="00976849" w:rsidRPr="00976849">
        <w:t>, as January 2018 will be the first time census data will be collected for children taking up the additional 15 hours</w:t>
      </w:r>
      <w:r w:rsidR="00F400A2">
        <w:t xml:space="preserve"> for working parents</w:t>
      </w:r>
      <w:r w:rsidR="00976849" w:rsidRPr="00976849">
        <w:t>.</w:t>
      </w:r>
    </w:p>
    <w:p w14:paraId="43360944" w14:textId="2A107B47" w:rsidR="007E6A78" w:rsidRDefault="00AE1ADC" w:rsidP="007E6A78">
      <w:pPr>
        <w:pStyle w:val="DeptBullets"/>
        <w:numPr>
          <w:ilvl w:val="0"/>
          <w:numId w:val="10"/>
        </w:numPr>
        <w:spacing w:line="276" w:lineRule="auto"/>
        <w:ind w:left="851" w:hanging="567"/>
      </w:pPr>
      <w:r>
        <w:t xml:space="preserve">Therefore, and as for </w:t>
      </w:r>
      <w:r w:rsidR="001F4E00">
        <w:t>2017 to 2018</w:t>
      </w:r>
      <w:r>
        <w:t xml:space="preserve">, we estimate, for each local authority, </w:t>
      </w:r>
      <w:r w:rsidR="007E6A78" w:rsidRPr="007E6A78">
        <w:t xml:space="preserve">the number of eligible children </w:t>
      </w:r>
      <w:r>
        <w:t>who are likely to take</w:t>
      </w:r>
      <w:r w:rsidR="009B3FF7">
        <w:t xml:space="preserve"> </w:t>
      </w:r>
      <w:r>
        <w:t>up the entitlement (and the hours they will take up)</w:t>
      </w:r>
      <w:r w:rsidR="007E6A78" w:rsidRPr="007E6A78">
        <w:t>.</w:t>
      </w:r>
    </w:p>
    <w:p w14:paraId="679F9A53" w14:textId="40F537E9" w:rsidR="00AE1ADC" w:rsidRDefault="00AE1ADC" w:rsidP="007E6A78">
      <w:pPr>
        <w:pStyle w:val="DeptBullets"/>
        <w:numPr>
          <w:ilvl w:val="0"/>
          <w:numId w:val="10"/>
        </w:numPr>
        <w:spacing w:line="276" w:lineRule="auto"/>
        <w:ind w:left="851" w:hanging="567"/>
      </w:pPr>
      <w:r>
        <w:t xml:space="preserve">In </w:t>
      </w:r>
      <w:r w:rsidR="001F4E00">
        <w:t>2017 to 2018</w:t>
      </w:r>
      <w:r w:rsidR="007E6A78">
        <w:t>,</w:t>
      </w:r>
      <w:r w:rsidR="007E6A78" w:rsidRPr="007E6A78">
        <w:t xml:space="preserve"> we assumed that 80%</w:t>
      </w:r>
      <w:r w:rsidR="007E6A78">
        <w:t xml:space="preserve"> of eligible children will take </w:t>
      </w:r>
      <w:r w:rsidR="007E6A78" w:rsidRPr="007E6A78">
        <w:t xml:space="preserve">up some additional hours provision, and </w:t>
      </w:r>
      <w:r>
        <w:t xml:space="preserve">that </w:t>
      </w:r>
      <w:r w:rsidR="007E6A78" w:rsidRPr="007E6A78">
        <w:t xml:space="preserve">those </w:t>
      </w:r>
      <w:r w:rsidR="007E6A78">
        <w:t xml:space="preserve">children will, on average, take </w:t>
      </w:r>
      <w:r w:rsidR="007E6A78" w:rsidRPr="007E6A78">
        <w:t>up 12 hours of the available 15 additional hours</w:t>
      </w:r>
      <w:r w:rsidR="00562290">
        <w:t xml:space="preserve">. For </w:t>
      </w:r>
      <w:r w:rsidR="001F4E00">
        <w:t>2018 to 2019</w:t>
      </w:r>
      <w:r w:rsidR="00562290">
        <w:t xml:space="preserve">, the </w:t>
      </w:r>
      <w:proofErr w:type="spellStart"/>
      <w:r w:rsidR="00562290">
        <w:t>take</w:t>
      </w:r>
      <w:r w:rsidR="007E6A78" w:rsidRPr="007E6A78">
        <w:t>up</w:t>
      </w:r>
      <w:proofErr w:type="spellEnd"/>
      <w:r w:rsidR="007E6A78" w:rsidRPr="007E6A78">
        <w:t xml:space="preserve"> assumption will increase from 80% to 83</w:t>
      </w:r>
      <w:r w:rsidR="007E6A78">
        <w:t>%</w:t>
      </w:r>
      <w:r>
        <w:t xml:space="preserve"> to reflect the policy </w:t>
      </w:r>
      <w:r w:rsidRPr="00046F1D">
        <w:t>becoming more embedded</w:t>
      </w:r>
      <w:r>
        <w:t xml:space="preserve"> in Year 2.</w:t>
      </w:r>
    </w:p>
    <w:p w14:paraId="62027068" w14:textId="6F18294F" w:rsidR="00976849" w:rsidRDefault="00976849" w:rsidP="00AE1ADC">
      <w:pPr>
        <w:pStyle w:val="DeptBullets"/>
        <w:numPr>
          <w:ilvl w:val="0"/>
          <w:numId w:val="10"/>
        </w:numPr>
        <w:spacing w:line="276" w:lineRule="auto"/>
        <w:ind w:left="851" w:hanging="567"/>
      </w:pPr>
      <w:r>
        <w:t xml:space="preserve">The initial allocation for each </w:t>
      </w:r>
      <w:r w:rsidR="009B3FF7">
        <w:t>local authority</w:t>
      </w:r>
      <w:r w:rsidR="007C08C3">
        <w:t xml:space="preserve"> for the additional </w:t>
      </w:r>
      <w:r w:rsidR="00F400A2">
        <w:t xml:space="preserve">15 </w:t>
      </w:r>
      <w:r w:rsidR="007C08C3">
        <w:t>hours entitlement</w:t>
      </w:r>
      <w:r>
        <w:t xml:space="preserve"> will be calculated as </w:t>
      </w:r>
      <w:proofErr w:type="gramStart"/>
      <w:r>
        <w:t>follows</w:t>
      </w:r>
      <w:proofErr w:type="gramEnd"/>
    </w:p>
    <w:p w14:paraId="4F586829" w14:textId="1C6E91A4" w:rsidR="00976849" w:rsidRDefault="00976849" w:rsidP="005657D9">
      <w:pPr>
        <w:pStyle w:val="DeptBullets"/>
        <w:numPr>
          <w:ilvl w:val="1"/>
          <w:numId w:val="17"/>
        </w:numPr>
        <w:spacing w:line="276" w:lineRule="auto"/>
        <w:ind w:left="1418" w:hanging="425"/>
      </w:pPr>
      <w:r>
        <w:t xml:space="preserve">DfE’s estimate of the number of PTEs </w:t>
      </w:r>
      <w:r w:rsidR="005C49B3">
        <w:t xml:space="preserve">who will </w:t>
      </w:r>
      <w:r w:rsidR="007C08C3">
        <w:t>take</w:t>
      </w:r>
      <w:r>
        <w:t xml:space="preserve"> up the </w:t>
      </w:r>
      <w:r w:rsidR="009B3FF7">
        <w:t xml:space="preserve">additional 15 hours </w:t>
      </w:r>
      <w:proofErr w:type="gramStart"/>
      <w:r w:rsidR="009B3FF7">
        <w:t>entitlement</w:t>
      </w:r>
      <w:proofErr w:type="gramEnd"/>
    </w:p>
    <w:p w14:paraId="148905E1" w14:textId="73526437" w:rsidR="00976849" w:rsidRDefault="007E24D3" w:rsidP="005657D9">
      <w:pPr>
        <w:pStyle w:val="DeptBullets"/>
        <w:numPr>
          <w:ilvl w:val="1"/>
          <w:numId w:val="17"/>
        </w:numPr>
        <w:spacing w:line="276" w:lineRule="auto"/>
        <w:ind w:left="1418" w:hanging="425"/>
      </w:pPr>
      <w:r>
        <w:t>t</w:t>
      </w:r>
      <w:r w:rsidR="00976849">
        <w:t xml:space="preserve">his is multiplied by 15 hours x 38 weeks x </w:t>
      </w:r>
      <w:r w:rsidR="009B3FF7">
        <w:t xml:space="preserve">the local authority’s </w:t>
      </w:r>
      <w:r w:rsidR="001F4E00">
        <w:t>2018 to 2019</w:t>
      </w:r>
      <w:r w:rsidR="009B3FF7">
        <w:t xml:space="preserve"> EYNFF hourly </w:t>
      </w:r>
      <w:proofErr w:type="gramStart"/>
      <w:r w:rsidR="009B3FF7">
        <w:t>rate</w:t>
      </w:r>
      <w:proofErr w:type="gramEnd"/>
    </w:p>
    <w:p w14:paraId="5F649581" w14:textId="3CEE3044" w:rsidR="00976849" w:rsidRDefault="007E24D3" w:rsidP="005657D9">
      <w:pPr>
        <w:pStyle w:val="DeptBullets"/>
        <w:numPr>
          <w:ilvl w:val="1"/>
          <w:numId w:val="17"/>
        </w:numPr>
        <w:spacing w:line="276" w:lineRule="auto"/>
        <w:ind w:left="1418" w:hanging="425"/>
      </w:pPr>
      <w:r>
        <w:t>t</w:t>
      </w:r>
      <w:r w:rsidR="00976849">
        <w:t xml:space="preserve">his gives the initial allocation for </w:t>
      </w:r>
      <w:r w:rsidR="00B338CE">
        <w:t xml:space="preserve">the additional </w:t>
      </w:r>
      <w:r w:rsidR="00F400A2">
        <w:t xml:space="preserve">15 </w:t>
      </w:r>
      <w:r w:rsidR="00B338CE">
        <w:t xml:space="preserve">hours entitlement for </w:t>
      </w:r>
      <w:r w:rsidR="001F4E00">
        <w:t xml:space="preserve">2018 to </w:t>
      </w:r>
      <w:proofErr w:type="gramStart"/>
      <w:r w:rsidR="001F4E00">
        <w:t>2019</w:t>
      </w:r>
      <w:proofErr w:type="gramEnd"/>
    </w:p>
    <w:p w14:paraId="53301C54" w14:textId="442210CE" w:rsidR="00976849" w:rsidRDefault="00976849" w:rsidP="00A45DC3">
      <w:pPr>
        <w:pStyle w:val="Heading2"/>
        <w:numPr>
          <w:ilvl w:val="0"/>
          <w:numId w:val="23"/>
        </w:numPr>
        <w:spacing w:line="276" w:lineRule="auto"/>
        <w:ind w:left="567" w:hanging="425"/>
      </w:pPr>
      <w:bookmarkStart w:id="12" w:name="_Toc498436534"/>
      <w:bookmarkStart w:id="13" w:name="_Toc444263654"/>
      <w:bookmarkStart w:id="14" w:name="_Toc452640140"/>
      <w:bookmarkEnd w:id="7"/>
      <w:bookmarkEnd w:id="8"/>
      <w:r>
        <w:t xml:space="preserve">The 15 hours entitlement for </w:t>
      </w:r>
      <w:r w:rsidR="00764BE1">
        <w:t xml:space="preserve">disadvantaged </w:t>
      </w:r>
      <w:proofErr w:type="gramStart"/>
      <w:r>
        <w:t>two year</w:t>
      </w:r>
      <w:proofErr w:type="gramEnd"/>
      <w:r>
        <w:t xml:space="preserve"> olds</w:t>
      </w:r>
      <w:bookmarkEnd w:id="12"/>
    </w:p>
    <w:p w14:paraId="70168762" w14:textId="4F55ACDF" w:rsidR="00976849" w:rsidRDefault="00B338CE" w:rsidP="00B338CE">
      <w:pPr>
        <w:pStyle w:val="DeptBullets"/>
        <w:numPr>
          <w:ilvl w:val="0"/>
          <w:numId w:val="10"/>
        </w:numPr>
        <w:spacing w:line="276" w:lineRule="auto"/>
        <w:ind w:left="851" w:hanging="567"/>
      </w:pPr>
      <w:r>
        <w:t xml:space="preserve">The hourly rates for disadvantaged two year olds </w:t>
      </w:r>
      <w:r w:rsidR="007C08C3">
        <w:t>were announced o</w:t>
      </w:r>
      <w:r>
        <w:t xml:space="preserve">n </w:t>
      </w:r>
      <w:hyperlink r:id="rId20" w:history="1">
        <w:r w:rsidRPr="0075376F">
          <w:rPr>
            <w:rStyle w:val="Hyperlink"/>
          </w:rPr>
          <w:t>1 December 2016</w:t>
        </w:r>
      </w:hyperlink>
      <w:r>
        <w:t>.</w:t>
      </w:r>
    </w:p>
    <w:p w14:paraId="64A3E5F1" w14:textId="376AEF2D" w:rsidR="00976849" w:rsidRDefault="00B338CE" w:rsidP="00B338CE">
      <w:pPr>
        <w:pStyle w:val="DeptBullets"/>
        <w:numPr>
          <w:ilvl w:val="0"/>
          <w:numId w:val="10"/>
        </w:numPr>
        <w:spacing w:line="276" w:lineRule="auto"/>
        <w:ind w:left="851" w:hanging="567"/>
      </w:pPr>
      <w:r>
        <w:t>PTE chil</w:t>
      </w:r>
      <w:r w:rsidR="007E24D3">
        <w:t>d counts from the January 2017 s</w:t>
      </w:r>
      <w:r w:rsidR="007C08C3">
        <w:t xml:space="preserve">chools, </w:t>
      </w:r>
      <w:r w:rsidR="007E24D3">
        <w:t>e</w:t>
      </w:r>
      <w:r w:rsidR="007C08C3">
        <w:t xml:space="preserve">arly </w:t>
      </w:r>
      <w:r w:rsidR="007E24D3">
        <w:t>y</w:t>
      </w:r>
      <w:r w:rsidR="007C08C3">
        <w:t xml:space="preserve">ears and </w:t>
      </w:r>
      <w:r w:rsidR="007E24D3">
        <w:t>a</w:t>
      </w:r>
      <w:r w:rsidR="007C08C3">
        <w:t xml:space="preserve">lternative </w:t>
      </w:r>
      <w:r w:rsidR="007E24D3">
        <w:t>p</w:t>
      </w:r>
      <w:r>
        <w:t>rovision censuses will be used to calculate the initial funding allocation.</w:t>
      </w:r>
    </w:p>
    <w:p w14:paraId="28875872" w14:textId="26710EBE" w:rsidR="00B338CE" w:rsidRDefault="00B338CE" w:rsidP="00B338CE">
      <w:pPr>
        <w:pStyle w:val="DeptBullets"/>
        <w:numPr>
          <w:ilvl w:val="0"/>
          <w:numId w:val="10"/>
        </w:numPr>
        <w:spacing w:line="276" w:lineRule="auto"/>
        <w:ind w:left="851" w:hanging="567"/>
      </w:pPr>
      <w:r>
        <w:t xml:space="preserve">The initial allocation for each </w:t>
      </w:r>
      <w:r w:rsidR="007E24D3">
        <w:t>local authority</w:t>
      </w:r>
      <w:r>
        <w:t xml:space="preserve"> will be calculated as follows:</w:t>
      </w:r>
    </w:p>
    <w:p w14:paraId="4368118A" w14:textId="77777777" w:rsidR="007E24D3" w:rsidRDefault="007E24D3" w:rsidP="007E24D3">
      <w:pPr>
        <w:pStyle w:val="DeptBullets"/>
        <w:numPr>
          <w:ilvl w:val="1"/>
          <w:numId w:val="10"/>
        </w:numPr>
        <w:spacing w:line="276" w:lineRule="auto"/>
        <w:ind w:left="1418" w:hanging="425"/>
      </w:pPr>
      <w:r>
        <w:t>t</w:t>
      </w:r>
      <w:r w:rsidR="00B338CE">
        <w:t xml:space="preserve">he January 2017 census data gives the number of PTEs taking up the </w:t>
      </w:r>
      <w:proofErr w:type="gramStart"/>
      <w:r w:rsidR="00B338CE">
        <w:t xml:space="preserve">two </w:t>
      </w:r>
      <w:r>
        <w:lastRenderedPageBreak/>
        <w:t>year old</w:t>
      </w:r>
      <w:proofErr w:type="gramEnd"/>
      <w:r>
        <w:t xml:space="preserve"> entitlement</w:t>
      </w:r>
    </w:p>
    <w:p w14:paraId="7F619564" w14:textId="7FF3B4B2" w:rsidR="00B338CE" w:rsidRDefault="007E24D3" w:rsidP="007E24D3">
      <w:pPr>
        <w:pStyle w:val="DeptBullets"/>
        <w:numPr>
          <w:ilvl w:val="1"/>
          <w:numId w:val="10"/>
        </w:numPr>
        <w:spacing w:line="276" w:lineRule="auto"/>
        <w:ind w:left="1418" w:hanging="425"/>
      </w:pPr>
      <w:r>
        <w:t>t</w:t>
      </w:r>
      <w:r w:rsidR="00B338CE">
        <w:t xml:space="preserve">his is multiplied by 15 hours x 38 weeks x </w:t>
      </w:r>
      <w:r>
        <w:t xml:space="preserve">the local authority’s </w:t>
      </w:r>
      <w:proofErr w:type="gramStart"/>
      <w:r>
        <w:t>two year old</w:t>
      </w:r>
      <w:proofErr w:type="gramEnd"/>
      <w:r>
        <w:t xml:space="preserve"> hourly rate</w:t>
      </w:r>
    </w:p>
    <w:p w14:paraId="5288C372" w14:textId="7625F803" w:rsidR="00B338CE" w:rsidRDefault="007E24D3" w:rsidP="00B338CE">
      <w:pPr>
        <w:pStyle w:val="DeptBullets"/>
        <w:numPr>
          <w:ilvl w:val="1"/>
          <w:numId w:val="10"/>
        </w:numPr>
        <w:spacing w:line="276" w:lineRule="auto"/>
        <w:ind w:left="1418" w:hanging="425"/>
      </w:pPr>
      <w:r>
        <w:t>t</w:t>
      </w:r>
      <w:r w:rsidR="00B338CE">
        <w:t>his gives the initial allocation for</w:t>
      </w:r>
      <w:r w:rsidR="00764BE1">
        <w:t xml:space="preserve"> </w:t>
      </w:r>
      <w:r w:rsidR="00562290">
        <w:t xml:space="preserve">the </w:t>
      </w:r>
      <w:proofErr w:type="gramStart"/>
      <w:r w:rsidR="00562290">
        <w:t>two year old</w:t>
      </w:r>
      <w:proofErr w:type="gramEnd"/>
      <w:r w:rsidR="00562290">
        <w:t xml:space="preserve"> entitlement </w:t>
      </w:r>
      <w:r w:rsidR="00764BE1">
        <w:t xml:space="preserve">in </w:t>
      </w:r>
      <w:r w:rsidR="001F4E00">
        <w:t>2018 to 2019</w:t>
      </w:r>
    </w:p>
    <w:p w14:paraId="7B4BC089" w14:textId="138A99DA" w:rsidR="00976849" w:rsidRDefault="00B338CE" w:rsidP="00A45DC3">
      <w:pPr>
        <w:pStyle w:val="Heading2"/>
        <w:numPr>
          <w:ilvl w:val="0"/>
          <w:numId w:val="23"/>
        </w:numPr>
        <w:spacing w:line="276" w:lineRule="auto"/>
        <w:ind w:left="567" w:hanging="425"/>
      </w:pPr>
      <w:bookmarkStart w:id="15" w:name="_Toc498436535"/>
      <w:r>
        <w:t xml:space="preserve">Early </w:t>
      </w:r>
      <w:r w:rsidR="00021C71">
        <w:t>Y</w:t>
      </w:r>
      <w:r>
        <w:t xml:space="preserve">ears </w:t>
      </w:r>
      <w:r w:rsidR="00021C71">
        <w:t>P</w:t>
      </w:r>
      <w:r>
        <w:t xml:space="preserve">upil </w:t>
      </w:r>
      <w:r w:rsidR="00021C71">
        <w:t>P</w:t>
      </w:r>
      <w:r>
        <w:t>remium</w:t>
      </w:r>
      <w:r w:rsidR="00764BE1">
        <w:t xml:space="preserve"> (EYPP)</w:t>
      </w:r>
      <w:bookmarkEnd w:id="15"/>
    </w:p>
    <w:p w14:paraId="24262F79" w14:textId="2B01A919" w:rsidR="00976849" w:rsidRDefault="00B338CE" w:rsidP="00B338CE">
      <w:pPr>
        <w:pStyle w:val="DeptBullets"/>
        <w:numPr>
          <w:ilvl w:val="0"/>
          <w:numId w:val="10"/>
        </w:numPr>
        <w:spacing w:line="276" w:lineRule="auto"/>
        <w:ind w:left="851" w:hanging="567"/>
      </w:pPr>
      <w:r>
        <w:t>The national rate for EYPP is 53p per hour per eligible child</w:t>
      </w:r>
      <w:r w:rsidR="0084063B">
        <w:t>, up to a maximum 570 hours per year</w:t>
      </w:r>
      <w:r>
        <w:t>.</w:t>
      </w:r>
    </w:p>
    <w:p w14:paraId="3A8FFE35" w14:textId="511D7BDD" w:rsidR="00B338CE" w:rsidRDefault="00B338CE" w:rsidP="00B338CE">
      <w:pPr>
        <w:pStyle w:val="DeptBullets"/>
        <w:numPr>
          <w:ilvl w:val="0"/>
          <w:numId w:val="10"/>
        </w:numPr>
        <w:spacing w:line="276" w:lineRule="auto"/>
        <w:ind w:left="851" w:hanging="567"/>
      </w:pPr>
      <w:r>
        <w:t xml:space="preserve">PTE child counts from the January 2017 </w:t>
      </w:r>
      <w:r w:rsidR="007E24D3">
        <w:t>s</w:t>
      </w:r>
      <w:r w:rsidR="00C74348">
        <w:t xml:space="preserve">chools, </w:t>
      </w:r>
      <w:r w:rsidR="007E24D3">
        <w:t>e</w:t>
      </w:r>
      <w:r w:rsidR="00C74348">
        <w:t xml:space="preserve">arly </w:t>
      </w:r>
      <w:r w:rsidR="007E24D3">
        <w:t>y</w:t>
      </w:r>
      <w:r w:rsidR="00C74348">
        <w:t xml:space="preserve">ears and </w:t>
      </w:r>
      <w:r w:rsidR="007E24D3">
        <w:t>a</w:t>
      </w:r>
      <w:r w:rsidR="00C74348">
        <w:t xml:space="preserve">lternative </w:t>
      </w:r>
      <w:r w:rsidR="007E24D3">
        <w:t>p</w:t>
      </w:r>
      <w:r w:rsidR="00C74348">
        <w:t>rovision censuses</w:t>
      </w:r>
      <w:r>
        <w:t xml:space="preserve"> will be used to calculate the initial funding allocation.</w:t>
      </w:r>
    </w:p>
    <w:p w14:paraId="67F7F76B" w14:textId="63D02DFC" w:rsidR="00976849" w:rsidRDefault="00B338CE" w:rsidP="00B338CE">
      <w:pPr>
        <w:pStyle w:val="DeptBullets"/>
        <w:numPr>
          <w:ilvl w:val="0"/>
          <w:numId w:val="10"/>
        </w:numPr>
        <w:spacing w:line="276" w:lineRule="auto"/>
        <w:ind w:left="851" w:hanging="567"/>
      </w:pPr>
      <w:r>
        <w:t xml:space="preserve">The initial allocation for each </w:t>
      </w:r>
      <w:r w:rsidR="007E24D3">
        <w:t>local authority</w:t>
      </w:r>
      <w:r>
        <w:t xml:space="preserve"> will be calculated as follows:</w:t>
      </w:r>
    </w:p>
    <w:p w14:paraId="7D8481F7" w14:textId="14F892F0" w:rsidR="00B338CE" w:rsidRDefault="007E24D3" w:rsidP="00B338CE">
      <w:pPr>
        <w:pStyle w:val="DeptBullets"/>
        <w:numPr>
          <w:ilvl w:val="1"/>
          <w:numId w:val="10"/>
        </w:numPr>
        <w:spacing w:line="276" w:lineRule="auto"/>
      </w:pPr>
      <w:r>
        <w:t>t</w:t>
      </w:r>
      <w:r w:rsidR="00B338CE">
        <w:t xml:space="preserve">he January 2017 census data gives the number of PTEs taking up the </w:t>
      </w:r>
      <w:proofErr w:type="gramStart"/>
      <w:r w:rsidR="00B338CE">
        <w:t>EYPP</w:t>
      </w:r>
      <w:proofErr w:type="gramEnd"/>
    </w:p>
    <w:p w14:paraId="5F7AD4A5" w14:textId="79AB59AB" w:rsidR="00B338CE" w:rsidRDefault="007E24D3" w:rsidP="00B338CE">
      <w:pPr>
        <w:pStyle w:val="DeptBullets"/>
        <w:numPr>
          <w:ilvl w:val="1"/>
          <w:numId w:val="10"/>
        </w:numPr>
        <w:spacing w:line="276" w:lineRule="auto"/>
      </w:pPr>
      <w:r>
        <w:t>t</w:t>
      </w:r>
      <w:r w:rsidR="00B338CE">
        <w:t>his is multiplied by 15 hours x 38 weeks</w:t>
      </w:r>
      <w:r>
        <w:t xml:space="preserve"> x </w:t>
      </w:r>
      <w:proofErr w:type="gramStart"/>
      <w:r>
        <w:t>£0.53</w:t>
      </w:r>
      <w:proofErr w:type="gramEnd"/>
    </w:p>
    <w:p w14:paraId="7A80D839" w14:textId="665003A6" w:rsidR="00B338CE" w:rsidRDefault="007E24D3" w:rsidP="00B338CE">
      <w:pPr>
        <w:pStyle w:val="DeptBullets"/>
        <w:numPr>
          <w:ilvl w:val="1"/>
          <w:numId w:val="10"/>
        </w:numPr>
        <w:spacing w:line="276" w:lineRule="auto"/>
      </w:pPr>
      <w:r>
        <w:t>t</w:t>
      </w:r>
      <w:r w:rsidR="00B338CE">
        <w:t xml:space="preserve">his gives the initial allocation for </w:t>
      </w:r>
      <w:r w:rsidR="00562290">
        <w:t xml:space="preserve">EYPP in </w:t>
      </w:r>
      <w:r w:rsidR="001F4E00">
        <w:t>2018 to 2019</w:t>
      </w:r>
    </w:p>
    <w:p w14:paraId="450C6035" w14:textId="35C9E145" w:rsidR="00976849" w:rsidRDefault="00021C71" w:rsidP="00A45DC3">
      <w:pPr>
        <w:pStyle w:val="Heading2"/>
        <w:numPr>
          <w:ilvl w:val="0"/>
          <w:numId w:val="23"/>
        </w:numPr>
        <w:spacing w:line="276" w:lineRule="auto"/>
        <w:ind w:left="567" w:hanging="425"/>
      </w:pPr>
      <w:bookmarkStart w:id="16" w:name="_Toc498436536"/>
      <w:r>
        <w:t>Disability Access F</w:t>
      </w:r>
      <w:r w:rsidR="00764BE1">
        <w:t>und (DAF)</w:t>
      </w:r>
      <w:bookmarkEnd w:id="16"/>
    </w:p>
    <w:p w14:paraId="7BFA8A9F" w14:textId="77777777" w:rsidR="00764BE1" w:rsidRDefault="00764BE1" w:rsidP="00764BE1">
      <w:pPr>
        <w:pStyle w:val="DeptBullets"/>
        <w:numPr>
          <w:ilvl w:val="0"/>
          <w:numId w:val="10"/>
        </w:numPr>
        <w:spacing w:line="276" w:lineRule="auto"/>
        <w:ind w:left="851" w:hanging="567"/>
      </w:pPr>
      <w:r>
        <w:t xml:space="preserve">The national rate for DAF is £615 per eligible child per year. </w:t>
      </w:r>
    </w:p>
    <w:p w14:paraId="55A4E69A" w14:textId="0187C746" w:rsidR="00764BE1" w:rsidRDefault="00764BE1" w:rsidP="00764BE1">
      <w:pPr>
        <w:pStyle w:val="DeptBullets"/>
        <w:numPr>
          <w:ilvl w:val="0"/>
          <w:numId w:val="10"/>
        </w:numPr>
        <w:spacing w:line="276" w:lineRule="auto"/>
        <w:ind w:left="851" w:hanging="567"/>
      </w:pPr>
      <w:r>
        <w:t xml:space="preserve">The funding allocation for </w:t>
      </w:r>
      <w:r w:rsidR="001F4E00">
        <w:t>2018 to 2019</w:t>
      </w:r>
      <w:r>
        <w:t xml:space="preserve"> </w:t>
      </w:r>
      <w:r w:rsidR="005D09BF">
        <w:t>will be</w:t>
      </w:r>
      <w:r>
        <w:t xml:space="preserve"> an illustrative allocation based on </w:t>
      </w:r>
      <w:r w:rsidR="001A516F">
        <w:t xml:space="preserve">an estimate of </w:t>
      </w:r>
      <w:r>
        <w:t xml:space="preserve">the number of </w:t>
      </w:r>
      <w:proofErr w:type="gramStart"/>
      <w:r>
        <w:t>three and four year olds</w:t>
      </w:r>
      <w:proofErr w:type="gramEnd"/>
      <w:r>
        <w:t xml:space="preserve"> who are not in Reception that are claiming the Disability Living Allowance (DLA).</w:t>
      </w:r>
    </w:p>
    <w:p w14:paraId="322F9111" w14:textId="29EC2005" w:rsidR="00764BE1" w:rsidRDefault="00764BE1" w:rsidP="00764BE1">
      <w:pPr>
        <w:pStyle w:val="DeptBullets"/>
        <w:numPr>
          <w:ilvl w:val="0"/>
          <w:numId w:val="10"/>
        </w:numPr>
        <w:spacing w:line="276" w:lineRule="auto"/>
        <w:ind w:left="851" w:hanging="567"/>
      </w:pPr>
      <w:r>
        <w:t xml:space="preserve">For each </w:t>
      </w:r>
      <w:r w:rsidR="007E24D3">
        <w:t>local authority</w:t>
      </w:r>
      <w:r>
        <w:t xml:space="preserve">, their total </w:t>
      </w:r>
      <w:r w:rsidR="00A329B0">
        <w:t xml:space="preserve">February 2017 </w:t>
      </w:r>
      <w:r>
        <w:t xml:space="preserve">DLA claimant count of </w:t>
      </w:r>
      <w:proofErr w:type="gramStart"/>
      <w:r>
        <w:t>three and four year old</w:t>
      </w:r>
      <w:proofErr w:type="gramEnd"/>
      <w:r>
        <w:t xml:space="preserve"> children, </w:t>
      </w:r>
      <w:r w:rsidR="007E6A78">
        <w:t xml:space="preserve">using </w:t>
      </w:r>
      <w:r w:rsidR="007E6A78" w:rsidRPr="00046F1D">
        <w:t xml:space="preserve">data </w:t>
      </w:r>
      <w:r w:rsidR="005C49B3" w:rsidRPr="00046F1D">
        <w:t xml:space="preserve">from </w:t>
      </w:r>
      <w:r w:rsidRPr="00046F1D">
        <w:t>the</w:t>
      </w:r>
      <w:r>
        <w:t xml:space="preserve"> Department for Work and Pensions (DWP), </w:t>
      </w:r>
      <w:r w:rsidR="007E6A78">
        <w:t>will be</w:t>
      </w:r>
      <w:r>
        <w:t xml:space="preserve"> adjusted to remove an estimated number of children in </w:t>
      </w:r>
      <w:r w:rsidR="007E24D3">
        <w:t>r</w:t>
      </w:r>
      <w:r>
        <w:t xml:space="preserve">eception. This </w:t>
      </w:r>
      <w:r w:rsidR="007E6A78">
        <w:t xml:space="preserve">will </w:t>
      </w:r>
      <w:r>
        <w:t xml:space="preserve">give an estimate of the number of </w:t>
      </w:r>
      <w:proofErr w:type="gramStart"/>
      <w:r>
        <w:t>three and four year olds</w:t>
      </w:r>
      <w:proofErr w:type="gramEnd"/>
      <w:r>
        <w:t xml:space="preserve"> </w:t>
      </w:r>
      <w:r w:rsidR="0084063B">
        <w:t>eligible to take</w:t>
      </w:r>
      <w:r>
        <w:t xml:space="preserve"> up DAF in the </w:t>
      </w:r>
      <w:r w:rsidR="007E24D3">
        <w:t>local authority</w:t>
      </w:r>
      <w:r>
        <w:t xml:space="preserve">. </w:t>
      </w:r>
    </w:p>
    <w:p w14:paraId="65DCFAF6" w14:textId="0B3363CB" w:rsidR="00764BE1" w:rsidRDefault="00764BE1" w:rsidP="00764BE1">
      <w:pPr>
        <w:pStyle w:val="DeptBullets"/>
        <w:numPr>
          <w:ilvl w:val="0"/>
          <w:numId w:val="10"/>
        </w:numPr>
        <w:spacing w:line="276" w:lineRule="auto"/>
        <w:ind w:left="851" w:hanging="567"/>
      </w:pPr>
      <w:r>
        <w:t xml:space="preserve">The </w:t>
      </w:r>
      <w:r w:rsidR="005C49B3">
        <w:t xml:space="preserve">illustrative </w:t>
      </w:r>
      <w:r>
        <w:t xml:space="preserve">funding allocation for each </w:t>
      </w:r>
      <w:r w:rsidR="007E24D3">
        <w:t xml:space="preserve">local authority </w:t>
      </w:r>
      <w:r>
        <w:t>will be calculated as follows:</w:t>
      </w:r>
    </w:p>
    <w:p w14:paraId="6BE06412" w14:textId="72BBA1AA" w:rsidR="00887ED5" w:rsidRDefault="007E24D3" w:rsidP="00887ED5">
      <w:pPr>
        <w:pStyle w:val="DeptBullets"/>
        <w:numPr>
          <w:ilvl w:val="1"/>
          <w:numId w:val="10"/>
        </w:numPr>
        <w:spacing w:line="276" w:lineRule="auto"/>
        <w:ind w:left="1418" w:hanging="425"/>
      </w:pPr>
      <w:r>
        <w:t>t</w:t>
      </w:r>
      <w:r w:rsidR="00887ED5">
        <w:t>he DfE’s estimate number of c</w:t>
      </w:r>
      <w:r>
        <w:t xml:space="preserve">hildren eligible to take up </w:t>
      </w:r>
      <w:proofErr w:type="gramStart"/>
      <w:r>
        <w:t>DAF</w:t>
      </w:r>
      <w:proofErr w:type="gramEnd"/>
    </w:p>
    <w:p w14:paraId="1A6C01F3" w14:textId="19AD5375" w:rsidR="00887ED5" w:rsidRDefault="007E24D3" w:rsidP="00887ED5">
      <w:pPr>
        <w:pStyle w:val="DeptBullets"/>
        <w:numPr>
          <w:ilvl w:val="1"/>
          <w:numId w:val="10"/>
        </w:numPr>
        <w:spacing w:line="276" w:lineRule="auto"/>
        <w:ind w:left="1418" w:hanging="425"/>
      </w:pPr>
      <w:r>
        <w:t>t</w:t>
      </w:r>
      <w:r w:rsidR="00887ED5">
        <w:t xml:space="preserve">his is multiplied by £615 per </w:t>
      </w:r>
      <w:proofErr w:type="gramStart"/>
      <w:r w:rsidR="00887ED5">
        <w:t>child</w:t>
      </w:r>
      <w:proofErr w:type="gramEnd"/>
    </w:p>
    <w:p w14:paraId="15A9095E" w14:textId="66379AA7" w:rsidR="00887ED5" w:rsidRDefault="007E24D3" w:rsidP="00887ED5">
      <w:pPr>
        <w:pStyle w:val="DeptBullets"/>
        <w:numPr>
          <w:ilvl w:val="1"/>
          <w:numId w:val="10"/>
        </w:numPr>
        <w:spacing w:line="276" w:lineRule="auto"/>
        <w:ind w:left="1418" w:hanging="425"/>
      </w:pPr>
      <w:r>
        <w:t>t</w:t>
      </w:r>
      <w:r w:rsidR="00887ED5">
        <w:t xml:space="preserve">his gives the </w:t>
      </w:r>
      <w:r w:rsidR="005C49B3">
        <w:t xml:space="preserve">illustrative </w:t>
      </w:r>
      <w:r w:rsidR="00887ED5">
        <w:t xml:space="preserve">DAF funding allocation for </w:t>
      </w:r>
      <w:r w:rsidR="001F4E00">
        <w:t xml:space="preserve">2018 to </w:t>
      </w:r>
      <w:proofErr w:type="gramStart"/>
      <w:r w:rsidR="001F4E00">
        <w:t>2019</w:t>
      </w:r>
      <w:proofErr w:type="gramEnd"/>
    </w:p>
    <w:p w14:paraId="2706B7A8" w14:textId="37F75B1C" w:rsidR="00B338CE" w:rsidRDefault="00764BE1" w:rsidP="00A45DC3">
      <w:pPr>
        <w:pStyle w:val="Heading2"/>
        <w:numPr>
          <w:ilvl w:val="0"/>
          <w:numId w:val="23"/>
        </w:numPr>
        <w:spacing w:line="276" w:lineRule="auto"/>
        <w:ind w:left="567" w:hanging="425"/>
      </w:pPr>
      <w:bookmarkStart w:id="17" w:name="_Toc498436537"/>
      <w:r>
        <w:lastRenderedPageBreak/>
        <w:t>Supplementary funding for Maintained Nursery Schools (MNS)</w:t>
      </w:r>
      <w:bookmarkEnd w:id="17"/>
    </w:p>
    <w:p w14:paraId="6813E23B" w14:textId="67B61438" w:rsidR="00764BE1" w:rsidRDefault="00764BE1" w:rsidP="00764BE1">
      <w:pPr>
        <w:pStyle w:val="DeptBullets"/>
        <w:numPr>
          <w:ilvl w:val="0"/>
          <w:numId w:val="10"/>
        </w:numPr>
        <w:spacing w:line="276" w:lineRule="auto"/>
        <w:ind w:left="851" w:hanging="567"/>
      </w:pPr>
      <w:r>
        <w:t xml:space="preserve">Supplementary funding for </w:t>
      </w:r>
      <w:r w:rsidR="00335C9C">
        <w:t>MNS</w:t>
      </w:r>
      <w:r>
        <w:t xml:space="preserve"> will be allocated to </w:t>
      </w:r>
      <w:r w:rsidR="007E24D3">
        <w:t xml:space="preserve">local authorities </w:t>
      </w:r>
      <w:r>
        <w:t xml:space="preserve">to protect their </w:t>
      </w:r>
      <w:r w:rsidR="001F4E00">
        <w:t>2016 to 2017</w:t>
      </w:r>
      <w:r>
        <w:t xml:space="preserve"> MNS funding rates</w:t>
      </w:r>
      <w:r w:rsidR="0084063B">
        <w:t>,</w:t>
      </w:r>
      <w:r>
        <w:t xml:space="preserve"> until at least </w:t>
      </w:r>
      <w:r w:rsidR="001F4E00">
        <w:t>2019 to 2020</w:t>
      </w:r>
      <w:r>
        <w:t>.</w:t>
      </w:r>
    </w:p>
    <w:p w14:paraId="6DC6E633" w14:textId="4537D730" w:rsidR="00764BE1" w:rsidRDefault="00764BE1" w:rsidP="00764BE1">
      <w:pPr>
        <w:pStyle w:val="DeptBullets"/>
        <w:numPr>
          <w:ilvl w:val="0"/>
          <w:numId w:val="10"/>
        </w:numPr>
        <w:spacing w:line="276" w:lineRule="auto"/>
        <w:ind w:left="851" w:hanging="567"/>
      </w:pPr>
      <w:r>
        <w:t xml:space="preserve">The </w:t>
      </w:r>
      <w:r w:rsidR="007E6BD3">
        <w:t xml:space="preserve">funding paid by local authorities to </w:t>
      </w:r>
      <w:r w:rsidR="00335C9C">
        <w:t>MNS</w:t>
      </w:r>
      <w:r>
        <w:t xml:space="preserve"> </w:t>
      </w:r>
      <w:r w:rsidR="007E6BD3">
        <w:t xml:space="preserve">in </w:t>
      </w:r>
      <w:r w:rsidR="001F4E00">
        <w:t>2016 to 2017</w:t>
      </w:r>
      <w:r>
        <w:t xml:space="preserve"> </w:t>
      </w:r>
      <w:r w:rsidR="00A14B94">
        <w:t>was</w:t>
      </w:r>
      <w:r>
        <w:t xml:space="preserve"> confirmed by </w:t>
      </w:r>
      <w:r w:rsidR="007E24D3">
        <w:t xml:space="preserve">local authorities </w:t>
      </w:r>
      <w:r>
        <w:t xml:space="preserve">during the data assurance exercise undertaken by the </w:t>
      </w:r>
      <w:r w:rsidR="007E24D3">
        <w:t>Education and Skills Funding Agency (</w:t>
      </w:r>
      <w:r>
        <w:t>ESFA</w:t>
      </w:r>
      <w:r w:rsidR="007E24D3">
        <w:t>)</w:t>
      </w:r>
      <w:r>
        <w:t xml:space="preserve"> in </w:t>
      </w:r>
      <w:r w:rsidR="00DD4D17">
        <w:t xml:space="preserve">Spring </w:t>
      </w:r>
      <w:r>
        <w:t>2017.</w:t>
      </w:r>
    </w:p>
    <w:p w14:paraId="7C6F2100" w14:textId="1C482766" w:rsidR="00B46901" w:rsidRDefault="00B46901" w:rsidP="00B46901">
      <w:pPr>
        <w:pStyle w:val="DeptBullets"/>
        <w:numPr>
          <w:ilvl w:val="0"/>
          <w:numId w:val="10"/>
        </w:numPr>
        <w:spacing w:line="276" w:lineRule="auto"/>
        <w:ind w:left="851" w:hanging="567"/>
      </w:pPr>
      <w:r>
        <w:t>The MNS supplementary funding</w:t>
      </w:r>
      <w:r w:rsidRPr="00B46901">
        <w:t xml:space="preserve"> allocation </w:t>
      </w:r>
      <w:r w:rsidR="000C4264">
        <w:t xml:space="preserve">enables </w:t>
      </w:r>
      <w:r w:rsidR="007E24D3">
        <w:t xml:space="preserve">local authorities </w:t>
      </w:r>
      <w:r w:rsidR="000C4264">
        <w:t xml:space="preserve">to </w:t>
      </w:r>
      <w:r>
        <w:t>protect</w:t>
      </w:r>
      <w:r w:rsidR="000D0821">
        <w:t xml:space="preserve"> the</w:t>
      </w:r>
      <w:r w:rsidR="000C4264">
        <w:t>ir</w:t>
      </w:r>
      <w:r w:rsidR="000D0821">
        <w:t xml:space="preserve"> </w:t>
      </w:r>
      <w:r w:rsidR="001F4E00">
        <w:t>2016 to 2017</w:t>
      </w:r>
      <w:r w:rsidRPr="00B46901">
        <w:t xml:space="preserve"> MNS </w:t>
      </w:r>
      <w:r w:rsidR="000C4264">
        <w:t xml:space="preserve">funding </w:t>
      </w:r>
      <w:r w:rsidRPr="00B46901">
        <w:t xml:space="preserve">rate </w:t>
      </w:r>
      <w:r w:rsidR="00734554">
        <w:t xml:space="preserve">for the universal 15 hours </w:t>
      </w:r>
      <w:r w:rsidRPr="00B46901">
        <w:t xml:space="preserve">by considering the difference between the </w:t>
      </w:r>
      <w:r w:rsidR="001F4E00">
        <w:t>2016 to 2017</w:t>
      </w:r>
      <w:r w:rsidRPr="00B46901">
        <w:t xml:space="preserve"> MNS </w:t>
      </w:r>
      <w:r w:rsidR="000C4264">
        <w:t>funding</w:t>
      </w:r>
      <w:r w:rsidR="000C4264" w:rsidRPr="00B46901">
        <w:t xml:space="preserve"> </w:t>
      </w:r>
      <w:r w:rsidRPr="00B46901">
        <w:t xml:space="preserve">rate and the EYNFF </w:t>
      </w:r>
      <w:r w:rsidR="001F4E00">
        <w:t>2018 to 2019</w:t>
      </w:r>
      <w:r w:rsidRPr="00B46901">
        <w:t xml:space="preserve"> </w:t>
      </w:r>
      <w:r w:rsidR="004D6E1C">
        <w:t>‘</w:t>
      </w:r>
      <w:r w:rsidRPr="00B46901">
        <w:t>provider equivalent</w:t>
      </w:r>
      <w:r w:rsidR="004D6E1C">
        <w:t>’</w:t>
      </w:r>
      <w:r w:rsidRPr="00B46901">
        <w:t xml:space="preserve"> hourly rate, which we refer to as the </w:t>
      </w:r>
      <w:r w:rsidR="007E24D3">
        <w:t>‘</w:t>
      </w:r>
      <w:r w:rsidRPr="007E24D3">
        <w:t>funding rate differential</w:t>
      </w:r>
      <w:r w:rsidR="007E24D3" w:rsidRPr="007E24D3">
        <w:t>’</w:t>
      </w:r>
      <w:r>
        <w:t>.</w:t>
      </w:r>
    </w:p>
    <w:p w14:paraId="6985989F" w14:textId="10206C5E" w:rsidR="00764BE1" w:rsidRDefault="00764BE1" w:rsidP="00764BE1">
      <w:pPr>
        <w:pStyle w:val="DeptBullets"/>
        <w:numPr>
          <w:ilvl w:val="0"/>
          <w:numId w:val="10"/>
        </w:numPr>
        <w:spacing w:line="276" w:lineRule="auto"/>
        <w:ind w:left="851" w:hanging="567"/>
      </w:pPr>
      <w:r>
        <w:t xml:space="preserve">The MNS supplementary funding allocation for </w:t>
      </w:r>
      <w:r w:rsidR="001F4E00">
        <w:t>2018 to 2019</w:t>
      </w:r>
      <w:r>
        <w:t xml:space="preserve"> will be calculated as follows:</w:t>
      </w:r>
    </w:p>
    <w:p w14:paraId="1FC6E604" w14:textId="1AEFAF73" w:rsidR="00036284" w:rsidRDefault="007E24D3" w:rsidP="00764BE1">
      <w:pPr>
        <w:pStyle w:val="DeptBullets"/>
        <w:numPr>
          <w:ilvl w:val="1"/>
          <w:numId w:val="10"/>
        </w:numPr>
        <w:spacing w:line="276" w:lineRule="auto"/>
      </w:pPr>
      <w:r>
        <w:t>t</w:t>
      </w:r>
      <w:r w:rsidR="00036284">
        <w:t xml:space="preserve">aking the </w:t>
      </w:r>
      <w:r>
        <w:t xml:space="preserve">local authority’s </w:t>
      </w:r>
      <w:r w:rsidR="00036284">
        <w:t xml:space="preserve">MNS hourly funding rate in </w:t>
      </w:r>
      <w:r w:rsidR="001F4E00">
        <w:t>2016 to 2017</w:t>
      </w:r>
      <w:r w:rsidR="00036284">
        <w:t xml:space="preserve"> (</w:t>
      </w:r>
      <w:r w:rsidR="00152BA0">
        <w:t xml:space="preserve">derived from the information provided </w:t>
      </w:r>
      <w:r w:rsidR="00036284">
        <w:t xml:space="preserve">by </w:t>
      </w:r>
      <w:r>
        <w:t xml:space="preserve">local authorities </w:t>
      </w:r>
      <w:r w:rsidR="00036284">
        <w:t>in the 2017 data assurance exercise)</w:t>
      </w:r>
      <w:r>
        <w:t>; t</w:t>
      </w:r>
      <w:r w:rsidR="00036284">
        <w:t>his is referred to as ‘</w:t>
      </w:r>
      <w:r w:rsidR="00734554">
        <w:t>A</w:t>
      </w:r>
      <w:r w:rsidR="00036284">
        <w:t xml:space="preserve">’ </w:t>
      </w:r>
      <w:proofErr w:type="gramStart"/>
      <w:r w:rsidR="00036284">
        <w:t>below</w:t>
      </w:r>
      <w:proofErr w:type="gramEnd"/>
    </w:p>
    <w:p w14:paraId="7ECE7C2A" w14:textId="3FC48D61" w:rsidR="00764BE1" w:rsidRDefault="007E24D3" w:rsidP="00764BE1">
      <w:pPr>
        <w:pStyle w:val="DeptBullets"/>
        <w:numPr>
          <w:ilvl w:val="1"/>
          <w:numId w:val="10"/>
        </w:numPr>
        <w:spacing w:line="276" w:lineRule="auto"/>
      </w:pPr>
      <w:r>
        <w:t>c</w:t>
      </w:r>
      <w:r w:rsidR="00764BE1">
        <w:t xml:space="preserve">alculating the </w:t>
      </w:r>
      <w:r w:rsidR="00A14B94">
        <w:t>‘provider equivalent’</w:t>
      </w:r>
      <w:r w:rsidR="00764BE1">
        <w:t xml:space="preserve"> hourly rate for </w:t>
      </w:r>
      <w:r w:rsidR="001F4E00">
        <w:t>2018 to 2019</w:t>
      </w:r>
      <w:r w:rsidR="00AB2569">
        <w:t>; this</w:t>
      </w:r>
      <w:r w:rsidR="00036284">
        <w:t xml:space="preserve"> is referred to as </w:t>
      </w:r>
      <w:r w:rsidR="00B01C2D">
        <w:t>‘</w:t>
      </w:r>
      <w:r w:rsidR="00734554">
        <w:t>B</w:t>
      </w:r>
      <w:r w:rsidR="00B01C2D">
        <w:t>’</w:t>
      </w:r>
      <w:r>
        <w:t xml:space="preserve"> </w:t>
      </w:r>
      <w:proofErr w:type="gramStart"/>
      <w:r>
        <w:t>below</w:t>
      </w:r>
      <w:proofErr w:type="gramEnd"/>
      <w:r w:rsidR="00764BE1">
        <w:t xml:space="preserve"> </w:t>
      </w:r>
    </w:p>
    <w:p w14:paraId="23E134F3" w14:textId="5DBB32CD" w:rsidR="00764BE1" w:rsidRDefault="007E24D3" w:rsidP="00C26B46">
      <w:pPr>
        <w:pStyle w:val="DeptBullets"/>
        <w:numPr>
          <w:ilvl w:val="2"/>
          <w:numId w:val="10"/>
        </w:numPr>
        <w:spacing w:line="276" w:lineRule="auto"/>
        <w:ind w:left="1843" w:hanging="425"/>
      </w:pPr>
      <w:r>
        <w:t>t</w:t>
      </w:r>
      <w:r w:rsidR="00764BE1">
        <w:t>h</w:t>
      </w:r>
      <w:r w:rsidR="00E23D0B">
        <w:t>e ‘provider equivalent’ hourly rate</w:t>
      </w:r>
      <w:r w:rsidR="00764BE1">
        <w:t xml:space="preserve"> determine</w:t>
      </w:r>
      <w:r w:rsidR="00784423">
        <w:t>s</w:t>
      </w:r>
      <w:r w:rsidR="00236A96">
        <w:t xml:space="preserve"> </w:t>
      </w:r>
      <w:r w:rsidR="00764BE1">
        <w:t xml:space="preserve">how much of the EYNFF allocation </w:t>
      </w:r>
      <w:r w:rsidR="00236A96">
        <w:t xml:space="preserve">is available to </w:t>
      </w:r>
      <w:r w:rsidR="00764BE1">
        <w:t xml:space="preserve">fund all providers (after deducting </w:t>
      </w:r>
      <w:r w:rsidR="00046F1D">
        <w:t>an amount for</w:t>
      </w:r>
      <w:r w:rsidR="00152BA0">
        <w:t xml:space="preserve"> </w:t>
      </w:r>
      <w:r w:rsidR="00764BE1">
        <w:t>central and contingency funding).</w:t>
      </w:r>
      <w:r w:rsidR="00784423">
        <w:t xml:space="preserve"> </w:t>
      </w:r>
      <w:r w:rsidR="00764BE1">
        <w:t>Th</w:t>
      </w:r>
      <w:r w:rsidR="00784423">
        <w:t>is is</w:t>
      </w:r>
      <w:r w:rsidR="00764BE1">
        <w:t xml:space="preserve"> calculated as:</w:t>
      </w:r>
    </w:p>
    <w:p w14:paraId="5AB571A0" w14:textId="427AD065" w:rsidR="00734554" w:rsidRDefault="00734554" w:rsidP="005354B4">
      <w:pPr>
        <w:pStyle w:val="DeptBullets"/>
        <w:numPr>
          <w:ilvl w:val="0"/>
          <w:numId w:val="0"/>
        </w:numPr>
        <w:spacing w:line="276" w:lineRule="auto"/>
        <w:ind w:left="1843"/>
        <w:jc w:val="center"/>
      </w:pPr>
      <w:r>
        <w:rPr>
          <w:noProof/>
          <w:lang w:eastAsia="en-GB"/>
        </w:rPr>
        <w:drawing>
          <wp:inline distT="0" distB="0" distL="0" distR="0" wp14:anchorId="7C998F13" wp14:editId="315EE6CA">
            <wp:extent cx="4462871" cy="900000"/>
            <wp:effectExtent l="0" t="0" r="0" b="0"/>
            <wp:docPr id="1" name="Picture 1" descr="Calculation to show how the 'provider equivalent' hourly rate is calculated." title="Provider equivalent hourly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62871" cy="900000"/>
                    </a:xfrm>
                    <a:prstGeom prst="rect">
                      <a:avLst/>
                    </a:prstGeom>
                  </pic:spPr>
                </pic:pic>
              </a:graphicData>
            </a:graphic>
          </wp:inline>
        </w:drawing>
      </w:r>
    </w:p>
    <w:p w14:paraId="7CE74BC1" w14:textId="2A220F05" w:rsidR="00764BE1" w:rsidRDefault="00146050" w:rsidP="00615365">
      <w:pPr>
        <w:pStyle w:val="DeptBullets"/>
        <w:numPr>
          <w:ilvl w:val="0"/>
          <w:numId w:val="0"/>
        </w:numPr>
        <w:spacing w:line="276" w:lineRule="auto"/>
        <w:ind w:left="1843"/>
      </w:pPr>
      <w:r>
        <w:t>w</w:t>
      </w:r>
      <w:r w:rsidR="00764BE1">
        <w:t>here</w:t>
      </w:r>
      <w:r w:rsidR="00784423">
        <w:t>:</w:t>
      </w:r>
    </w:p>
    <w:p w14:paraId="0443270A" w14:textId="709DC211" w:rsidR="00B01C2D" w:rsidRDefault="00AB2569" w:rsidP="00010DDA">
      <w:pPr>
        <w:pStyle w:val="DeptBullets"/>
        <w:numPr>
          <w:ilvl w:val="0"/>
          <w:numId w:val="0"/>
        </w:numPr>
        <w:spacing w:line="276" w:lineRule="auto"/>
        <w:ind w:left="2552" w:hanging="425"/>
      </w:pPr>
      <w:r>
        <w:t>B = t</w:t>
      </w:r>
      <w:r w:rsidR="00B01C2D">
        <w:t xml:space="preserve">he </w:t>
      </w:r>
      <w:r>
        <w:t xml:space="preserve">local authority’s </w:t>
      </w:r>
      <w:r w:rsidR="00B01C2D">
        <w:t>‘provider equivalent’ hourly rate</w:t>
      </w:r>
      <w:r w:rsidR="001D479E">
        <w:t xml:space="preserve"> for </w:t>
      </w:r>
      <w:r w:rsidR="001F4E00">
        <w:t>2018 to 2019</w:t>
      </w:r>
    </w:p>
    <w:p w14:paraId="71BE3AB9" w14:textId="1542D826" w:rsidR="00764BE1" w:rsidRDefault="00B01C2D" w:rsidP="00010DDA">
      <w:pPr>
        <w:pStyle w:val="DeptBullets"/>
        <w:numPr>
          <w:ilvl w:val="0"/>
          <w:numId w:val="0"/>
        </w:numPr>
        <w:spacing w:line="276" w:lineRule="auto"/>
        <w:ind w:left="2552" w:hanging="425"/>
      </w:pPr>
      <w:r>
        <w:t>C</w:t>
      </w:r>
      <w:r w:rsidR="00764BE1">
        <w:t xml:space="preserve"> = </w:t>
      </w:r>
      <w:r w:rsidR="00AB2569">
        <w:t>t</w:t>
      </w:r>
      <w:r w:rsidR="00841645">
        <w:t xml:space="preserve">he </w:t>
      </w:r>
      <w:r w:rsidR="00AB2569">
        <w:t xml:space="preserve">local authority’s </w:t>
      </w:r>
      <w:r w:rsidR="00841645">
        <w:t>t</w:t>
      </w:r>
      <w:r w:rsidR="00764BE1">
        <w:t xml:space="preserve">otal </w:t>
      </w:r>
      <w:r w:rsidR="001C4129">
        <w:t xml:space="preserve">initial </w:t>
      </w:r>
      <w:r w:rsidR="00764BE1">
        <w:t>EYNFF allocation for universa</w:t>
      </w:r>
      <w:r w:rsidR="008E6D8B">
        <w:t>l</w:t>
      </w:r>
      <w:r w:rsidR="00764BE1">
        <w:t xml:space="preserve"> and additional </w:t>
      </w:r>
      <w:r w:rsidR="007E6BD3">
        <w:t xml:space="preserve">15 </w:t>
      </w:r>
      <w:r w:rsidR="00764BE1">
        <w:t>hours</w:t>
      </w:r>
      <w:r w:rsidR="008E6D8B">
        <w:t xml:space="preserve"> entitlements</w:t>
      </w:r>
      <w:r w:rsidR="00764BE1">
        <w:t xml:space="preserve"> </w:t>
      </w:r>
      <w:r w:rsidR="007E6BD3">
        <w:t xml:space="preserve">for </w:t>
      </w:r>
      <w:proofErr w:type="gramStart"/>
      <w:r w:rsidR="007E6BD3">
        <w:t>three and four year olds</w:t>
      </w:r>
      <w:proofErr w:type="gramEnd"/>
      <w:r w:rsidR="007E6BD3">
        <w:t xml:space="preserve"> </w:t>
      </w:r>
      <w:r w:rsidR="00152BA0">
        <w:t xml:space="preserve">in </w:t>
      </w:r>
      <w:r w:rsidR="001F4E00">
        <w:t>2018 to 2019</w:t>
      </w:r>
      <w:r w:rsidR="00152BA0">
        <w:t xml:space="preserve"> </w:t>
      </w:r>
      <w:r w:rsidR="00764BE1">
        <w:t>(</w:t>
      </w:r>
      <w:r w:rsidR="008E6D8B">
        <w:t>to be</w:t>
      </w:r>
      <w:r w:rsidR="00764BE1">
        <w:t xml:space="preserve"> published in December 2017)</w:t>
      </w:r>
    </w:p>
    <w:p w14:paraId="481C41B2" w14:textId="06A753C7" w:rsidR="00764BE1" w:rsidRDefault="00B01C2D" w:rsidP="00010DDA">
      <w:pPr>
        <w:pStyle w:val="DeptBullets"/>
        <w:numPr>
          <w:ilvl w:val="0"/>
          <w:numId w:val="0"/>
        </w:numPr>
        <w:spacing w:line="276" w:lineRule="auto"/>
        <w:ind w:left="2552" w:hanging="425"/>
      </w:pPr>
      <w:r>
        <w:t>D</w:t>
      </w:r>
      <w:r w:rsidR="00764BE1">
        <w:t xml:space="preserve"> = </w:t>
      </w:r>
      <w:r w:rsidR="00AB2569">
        <w:t>t</w:t>
      </w:r>
      <w:r w:rsidR="001C4129">
        <w:t>he amount deducted for t</w:t>
      </w:r>
      <w:r w:rsidR="0084063B">
        <w:t xml:space="preserve">he </w:t>
      </w:r>
      <w:r w:rsidR="00AB2569">
        <w:t xml:space="preserve">local authority’s </w:t>
      </w:r>
      <w:r w:rsidR="00AE63ED">
        <w:t xml:space="preserve">estimated </w:t>
      </w:r>
      <w:proofErr w:type="gramStart"/>
      <w:r w:rsidR="00764BE1">
        <w:t>central</w:t>
      </w:r>
      <w:proofErr w:type="gramEnd"/>
      <w:r w:rsidR="001C4129">
        <w:t xml:space="preserve"> and contingency </w:t>
      </w:r>
      <w:r w:rsidR="008E6D8B">
        <w:t>spend</w:t>
      </w:r>
      <w:r w:rsidR="00764BE1">
        <w:t xml:space="preserve"> </w:t>
      </w:r>
      <w:r w:rsidR="001C4129">
        <w:t xml:space="preserve">in </w:t>
      </w:r>
      <w:r w:rsidR="001F4E00">
        <w:t>2018 to 2019</w:t>
      </w:r>
      <w:r w:rsidR="001C4129">
        <w:t xml:space="preserve"> </w:t>
      </w:r>
      <w:r w:rsidR="00784423">
        <w:t>(</w:t>
      </w:r>
      <w:r w:rsidR="001C4129" w:rsidRPr="001C4129">
        <w:t>calculated by</w:t>
      </w:r>
      <w:r w:rsidR="001C4129">
        <w:t xml:space="preserve"> </w:t>
      </w:r>
      <w:r w:rsidR="001C4129" w:rsidRPr="001C4129">
        <w:t xml:space="preserve">adding the </w:t>
      </w:r>
      <w:r w:rsidR="00AB2569">
        <w:t>local authority’s</w:t>
      </w:r>
      <w:r w:rsidR="001C4129" w:rsidRPr="001C4129">
        <w:t xml:space="preserve"> % central spend </w:t>
      </w:r>
      <w:r w:rsidR="00AE63ED">
        <w:t xml:space="preserve">in </w:t>
      </w:r>
      <w:r w:rsidR="001F4E00">
        <w:t>2017 to 2018</w:t>
      </w:r>
      <w:r w:rsidR="001C4129" w:rsidRPr="001C4129">
        <w:t xml:space="preserve"> (capped at 5%</w:t>
      </w:r>
      <w:r w:rsidR="001C4129">
        <w:t>)</w:t>
      </w:r>
      <w:r w:rsidR="001C4129" w:rsidRPr="001C4129">
        <w:t xml:space="preserve"> </w:t>
      </w:r>
      <w:r w:rsidR="001C4129">
        <w:lastRenderedPageBreak/>
        <w:t>to the</w:t>
      </w:r>
      <w:r w:rsidR="001C4129" w:rsidRPr="001C4129">
        <w:t xml:space="preserve"> </w:t>
      </w:r>
      <w:r w:rsidR="00AB2569">
        <w:t xml:space="preserve">local authority’s </w:t>
      </w:r>
      <w:r w:rsidR="001C4129" w:rsidRPr="001C4129">
        <w:t xml:space="preserve">% contingency spend from </w:t>
      </w:r>
      <w:r w:rsidR="001F4E00">
        <w:t>2017 to 2018</w:t>
      </w:r>
      <w:r w:rsidR="001C4129">
        <w:rPr>
          <w:rStyle w:val="FootnoteReference"/>
        </w:rPr>
        <w:footnoteReference w:id="2"/>
      </w:r>
      <w:r w:rsidR="001C4129">
        <w:t>, and applying them to the</w:t>
      </w:r>
      <w:r w:rsidR="001C4129" w:rsidRPr="001C4129">
        <w:t xml:space="preserve"> </w:t>
      </w:r>
      <w:r w:rsidR="001F4E00">
        <w:t>2018 to 2019</w:t>
      </w:r>
      <w:r w:rsidR="00AE63ED">
        <w:t xml:space="preserve"> EYNFF allocation (C)</w:t>
      </w:r>
    </w:p>
    <w:p w14:paraId="7F111EDB" w14:textId="0F3875D2" w:rsidR="00764BE1" w:rsidRDefault="00B01C2D" w:rsidP="00010DDA">
      <w:pPr>
        <w:pStyle w:val="DeptBullets"/>
        <w:numPr>
          <w:ilvl w:val="0"/>
          <w:numId w:val="0"/>
        </w:numPr>
        <w:spacing w:line="276" w:lineRule="auto"/>
        <w:ind w:left="2552" w:hanging="425"/>
      </w:pPr>
      <w:r>
        <w:t>E</w:t>
      </w:r>
      <w:r w:rsidR="00AB2569">
        <w:t xml:space="preserve"> = th</w:t>
      </w:r>
      <w:r w:rsidR="00841645">
        <w:t xml:space="preserve">e </w:t>
      </w:r>
      <w:r w:rsidR="00AB2569">
        <w:t xml:space="preserve">local authority’s </w:t>
      </w:r>
      <w:r w:rsidR="00841645">
        <w:t>t</w:t>
      </w:r>
      <w:r w:rsidR="00764BE1">
        <w:t xml:space="preserve">otal number of funded hours for universal and additional </w:t>
      </w:r>
      <w:r w:rsidR="00E23D0B">
        <w:t xml:space="preserve">15 </w:t>
      </w:r>
      <w:r w:rsidR="00764BE1">
        <w:t>hours</w:t>
      </w:r>
      <w:r w:rsidR="008E6D8B">
        <w:t xml:space="preserve"> entitlements</w:t>
      </w:r>
      <w:r w:rsidR="00045BEA">
        <w:t>. This is calculated by adding together</w:t>
      </w:r>
      <w:r w:rsidR="00764BE1">
        <w:t xml:space="preserve"> the PTE numbers for</w:t>
      </w:r>
      <w:r w:rsidR="00AE63ED">
        <w:t xml:space="preserve"> the</w:t>
      </w:r>
      <w:r w:rsidR="00764BE1">
        <w:t xml:space="preserve"> universal</w:t>
      </w:r>
      <w:r w:rsidR="00045BEA">
        <w:t xml:space="preserve"> 15 hours entitlement</w:t>
      </w:r>
      <w:r w:rsidR="00764BE1">
        <w:t xml:space="preserve"> </w:t>
      </w:r>
      <w:r w:rsidR="008E6D8B">
        <w:t>from the January 2017 census</w:t>
      </w:r>
      <w:r w:rsidR="00045BEA">
        <w:t xml:space="preserve"> and the DfE estimated PTE number for the additional 15 hours entitlement</w:t>
      </w:r>
      <w:r w:rsidR="00841645">
        <w:t>,</w:t>
      </w:r>
      <w:r w:rsidR="00764BE1">
        <w:t xml:space="preserve"> </w:t>
      </w:r>
      <w:r w:rsidR="00045BEA">
        <w:t xml:space="preserve">multiplied </w:t>
      </w:r>
      <w:r w:rsidR="008E6D8B">
        <w:t xml:space="preserve">by 15 hours x 38 </w:t>
      </w:r>
      <w:proofErr w:type="gramStart"/>
      <w:r w:rsidR="008E6D8B">
        <w:t>weeks</w:t>
      </w:r>
      <w:proofErr w:type="gramEnd"/>
    </w:p>
    <w:p w14:paraId="3CC8CC45" w14:textId="77554B42" w:rsidR="00F7137B" w:rsidRDefault="00AB2569" w:rsidP="00F7137B">
      <w:pPr>
        <w:pStyle w:val="DeptBullets"/>
        <w:numPr>
          <w:ilvl w:val="1"/>
          <w:numId w:val="10"/>
        </w:numPr>
        <w:spacing w:line="276" w:lineRule="auto"/>
      </w:pPr>
      <w:bookmarkStart w:id="18" w:name="_Ref498421307"/>
      <w:r>
        <w:t>c</w:t>
      </w:r>
      <w:r w:rsidR="00F7137B">
        <w:t>omparing th</w:t>
      </w:r>
      <w:r w:rsidR="00036284">
        <w:t>e MNS</w:t>
      </w:r>
      <w:r w:rsidR="005A3338">
        <w:t xml:space="preserve"> hourly</w:t>
      </w:r>
      <w:r w:rsidR="00036284">
        <w:t xml:space="preserve"> funding rate in </w:t>
      </w:r>
      <w:r w:rsidR="001F4E00">
        <w:t>2016 to 2017</w:t>
      </w:r>
      <w:r w:rsidR="00036284">
        <w:t xml:space="preserve"> (</w:t>
      </w:r>
      <w:r w:rsidR="00B01C2D">
        <w:t>‘</w:t>
      </w:r>
      <w:r w:rsidR="00036284">
        <w:t>A</w:t>
      </w:r>
      <w:r w:rsidR="00B01C2D">
        <w:t>’</w:t>
      </w:r>
      <w:r w:rsidR="00036284">
        <w:t>) with the</w:t>
      </w:r>
      <w:r w:rsidR="00784423">
        <w:t xml:space="preserve"> </w:t>
      </w:r>
      <w:r w:rsidR="001F4E00">
        <w:t>2018 to 2019</w:t>
      </w:r>
      <w:r w:rsidR="00036284">
        <w:t xml:space="preserve"> ‘</w:t>
      </w:r>
      <w:r w:rsidR="00F7137B">
        <w:t>provider equivalent</w:t>
      </w:r>
      <w:r w:rsidR="00036284">
        <w:t>’</w:t>
      </w:r>
      <w:r w:rsidR="00F7137B">
        <w:t xml:space="preserve"> hourly rate</w:t>
      </w:r>
      <w:r w:rsidR="00036284">
        <w:t xml:space="preserve"> (</w:t>
      </w:r>
      <w:r w:rsidR="00B01C2D">
        <w:t>‘</w:t>
      </w:r>
      <w:r w:rsidR="00036284">
        <w:t>B</w:t>
      </w:r>
      <w:r w:rsidR="00B01C2D">
        <w:t>’</w:t>
      </w:r>
      <w:r w:rsidR="00036284">
        <w:t>)</w:t>
      </w:r>
      <w:bookmarkEnd w:id="18"/>
    </w:p>
    <w:p w14:paraId="3817488D" w14:textId="0F678856" w:rsidR="00764BE1" w:rsidRDefault="00AB2569" w:rsidP="005657D9">
      <w:pPr>
        <w:pStyle w:val="DeptBullets"/>
        <w:numPr>
          <w:ilvl w:val="2"/>
          <w:numId w:val="10"/>
        </w:numPr>
        <w:spacing w:line="276" w:lineRule="auto"/>
        <w:ind w:left="1843" w:hanging="425"/>
      </w:pPr>
      <w:r>
        <w:t>t</w:t>
      </w:r>
      <w:r w:rsidR="00764BE1">
        <w:t xml:space="preserve">his is to determine if the ‘provider equivalent’ </w:t>
      </w:r>
      <w:r w:rsidR="00B46901">
        <w:t>hourly</w:t>
      </w:r>
      <w:r w:rsidR="00764BE1">
        <w:t xml:space="preserve"> rate</w:t>
      </w:r>
      <w:r w:rsidR="001D479E">
        <w:t xml:space="preserve"> for </w:t>
      </w:r>
      <w:r w:rsidR="001F4E00">
        <w:t>2018 to 2019</w:t>
      </w:r>
      <w:r w:rsidR="00764BE1">
        <w:t xml:space="preserve"> is sufficient to maintain the </w:t>
      </w:r>
      <w:r w:rsidR="001F4E00">
        <w:t>2016 to 2017</w:t>
      </w:r>
      <w:r w:rsidR="005A3338">
        <w:t xml:space="preserve"> </w:t>
      </w:r>
      <w:r w:rsidR="00764BE1">
        <w:t>fundi</w:t>
      </w:r>
      <w:r w:rsidR="00841645">
        <w:t xml:space="preserve">ng </w:t>
      </w:r>
      <w:r w:rsidR="005A3338">
        <w:t xml:space="preserve">rate </w:t>
      </w:r>
      <w:r w:rsidR="00841645">
        <w:t xml:space="preserve">for </w:t>
      </w:r>
      <w:proofErr w:type="gramStart"/>
      <w:r w:rsidR="00335C9C">
        <w:t>MNS</w:t>
      </w:r>
      <w:proofErr w:type="gramEnd"/>
    </w:p>
    <w:p w14:paraId="70470922" w14:textId="300E7049" w:rsidR="00764BE1" w:rsidRDefault="00AB2569" w:rsidP="005657D9">
      <w:pPr>
        <w:pStyle w:val="DeptBullets"/>
        <w:numPr>
          <w:ilvl w:val="2"/>
          <w:numId w:val="10"/>
        </w:numPr>
        <w:spacing w:line="276" w:lineRule="auto"/>
        <w:ind w:left="1843" w:hanging="425"/>
      </w:pPr>
      <w:r>
        <w:t>t</w:t>
      </w:r>
      <w:r w:rsidR="00764BE1">
        <w:t>he funding rate differential is determined as follows:</w:t>
      </w:r>
    </w:p>
    <w:p w14:paraId="259F83B7" w14:textId="3548684B" w:rsidR="00B01C2D" w:rsidRDefault="00B01C2D" w:rsidP="005354B4">
      <w:pPr>
        <w:pStyle w:val="DeptBullets"/>
        <w:numPr>
          <w:ilvl w:val="0"/>
          <w:numId w:val="0"/>
        </w:numPr>
        <w:spacing w:line="276" w:lineRule="auto"/>
        <w:ind w:left="1843"/>
        <w:jc w:val="center"/>
      </w:pPr>
    </w:p>
    <w:p w14:paraId="343BB2DF" w14:textId="5E7C510C" w:rsidR="00B22BA1" w:rsidRDefault="00B22BA1" w:rsidP="005354B4">
      <w:pPr>
        <w:pStyle w:val="DeptBullets"/>
        <w:numPr>
          <w:ilvl w:val="0"/>
          <w:numId w:val="0"/>
        </w:numPr>
        <w:spacing w:line="276" w:lineRule="auto"/>
        <w:ind w:left="1843"/>
        <w:jc w:val="center"/>
      </w:pPr>
      <w:r>
        <w:rPr>
          <w:noProof/>
          <w:lang w:eastAsia="en-GB"/>
        </w:rPr>
        <w:drawing>
          <wp:inline distT="0" distB="0" distL="0" distR="0" wp14:anchorId="24F9FB85" wp14:editId="334C2604">
            <wp:extent cx="3295650" cy="819150"/>
            <wp:effectExtent l="0" t="0" r="0" b="0"/>
            <wp:docPr id="3" name="Picture 3" descr="Calculation to show how the funding rate differential for MNSs is calculated." title="Funding rate differ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819150"/>
                    </a:xfrm>
                    <a:prstGeom prst="rect">
                      <a:avLst/>
                    </a:prstGeom>
                    <a:noFill/>
                    <a:ln>
                      <a:noFill/>
                    </a:ln>
                  </pic:spPr>
                </pic:pic>
              </a:graphicData>
            </a:graphic>
          </wp:inline>
        </w:drawing>
      </w:r>
    </w:p>
    <w:p w14:paraId="7056C644" w14:textId="67F75458" w:rsidR="00764BE1" w:rsidRDefault="008E6D8B" w:rsidP="00841645">
      <w:pPr>
        <w:pStyle w:val="DeptBullets"/>
        <w:numPr>
          <w:ilvl w:val="0"/>
          <w:numId w:val="0"/>
        </w:numPr>
        <w:spacing w:line="276" w:lineRule="auto"/>
        <w:ind w:left="1843"/>
      </w:pPr>
      <w:r>
        <w:t>where</w:t>
      </w:r>
      <w:r w:rsidR="00784423">
        <w:t>:</w:t>
      </w:r>
    </w:p>
    <w:p w14:paraId="07E1FBC3" w14:textId="3C591E4A" w:rsidR="00B22BA1" w:rsidRDefault="00AB2569" w:rsidP="00010DDA">
      <w:pPr>
        <w:pStyle w:val="DeptBullets"/>
        <w:numPr>
          <w:ilvl w:val="0"/>
          <w:numId w:val="0"/>
        </w:numPr>
        <w:spacing w:line="276" w:lineRule="auto"/>
        <w:ind w:left="2552" w:hanging="425"/>
      </w:pPr>
      <w:r>
        <w:t>F = t</w:t>
      </w:r>
      <w:r w:rsidR="00B22BA1">
        <w:t xml:space="preserve">he </w:t>
      </w:r>
      <w:r>
        <w:t xml:space="preserve">local authority’s </w:t>
      </w:r>
      <w:r w:rsidR="00B22BA1">
        <w:t>funding rate differential</w:t>
      </w:r>
      <w:r>
        <w:t>; that is,</w:t>
      </w:r>
      <w:r w:rsidR="00B22BA1">
        <w:t xml:space="preserve"> the difference </w:t>
      </w:r>
      <w:r w:rsidR="00301CF5">
        <w:t>in funding rate</w:t>
      </w:r>
      <w:r w:rsidR="005A3338">
        <w:t>s</w:t>
      </w:r>
      <w:r w:rsidR="00301CF5">
        <w:t xml:space="preserve"> </w:t>
      </w:r>
      <w:r w:rsidR="00B22BA1">
        <w:t xml:space="preserve">which </w:t>
      </w:r>
      <w:r w:rsidR="001B0323">
        <w:t xml:space="preserve">the </w:t>
      </w:r>
      <w:r w:rsidR="00301CF5">
        <w:t xml:space="preserve">MNS </w:t>
      </w:r>
      <w:r w:rsidR="00B22BA1">
        <w:t>supplementary funding</w:t>
      </w:r>
      <w:r w:rsidR="005A3338">
        <w:t xml:space="preserve"> is intended to </w:t>
      </w:r>
      <w:r w:rsidR="00512E4A">
        <w:t>meet</w:t>
      </w:r>
    </w:p>
    <w:p w14:paraId="4C0104D4" w14:textId="27C0955A" w:rsidR="00764BE1" w:rsidRDefault="00B01C2D" w:rsidP="00010DDA">
      <w:pPr>
        <w:pStyle w:val="DeptBullets"/>
        <w:numPr>
          <w:ilvl w:val="0"/>
          <w:numId w:val="0"/>
        </w:numPr>
        <w:spacing w:line="276" w:lineRule="auto"/>
        <w:ind w:left="2552" w:hanging="425"/>
      </w:pPr>
      <w:r>
        <w:t>A</w:t>
      </w:r>
      <w:r w:rsidR="00764BE1">
        <w:t xml:space="preserve"> = </w:t>
      </w:r>
      <w:r w:rsidR="00AB2569">
        <w:t>t</w:t>
      </w:r>
      <w:r w:rsidR="00B22BA1">
        <w:t xml:space="preserve">he </w:t>
      </w:r>
      <w:r w:rsidR="00AB2569">
        <w:t>local authority’s</w:t>
      </w:r>
      <w:r w:rsidR="00764BE1">
        <w:t xml:space="preserve"> MNS hourly funding rate in </w:t>
      </w:r>
      <w:r w:rsidR="001F4E00">
        <w:t>2016 to 2017</w:t>
      </w:r>
      <w:r w:rsidR="008E6D8B">
        <w:t xml:space="preserve"> </w:t>
      </w:r>
      <w:r w:rsidR="00764BE1">
        <w:t>(</w:t>
      </w:r>
      <w:r w:rsidR="00A34383">
        <w:t xml:space="preserve">derived from the information provided by </w:t>
      </w:r>
      <w:r w:rsidR="00AB2569">
        <w:t xml:space="preserve">local authorities </w:t>
      </w:r>
      <w:r w:rsidR="00A34383">
        <w:t>in the 2017 data assurance exercise</w:t>
      </w:r>
      <w:r w:rsidR="008E6D8B">
        <w:t>)</w:t>
      </w:r>
    </w:p>
    <w:p w14:paraId="177C6984" w14:textId="1821CD3C" w:rsidR="004D6E1C" w:rsidRDefault="00AB2569" w:rsidP="00010DDA">
      <w:pPr>
        <w:pStyle w:val="DeptBullets"/>
        <w:numPr>
          <w:ilvl w:val="0"/>
          <w:numId w:val="0"/>
        </w:numPr>
        <w:spacing w:line="276" w:lineRule="auto"/>
        <w:ind w:left="2552" w:hanging="425"/>
      </w:pPr>
      <w:r>
        <w:t>B = t</w:t>
      </w:r>
      <w:r w:rsidR="001D479E">
        <w:t xml:space="preserve">he </w:t>
      </w:r>
      <w:r>
        <w:t xml:space="preserve">local authority’s </w:t>
      </w:r>
      <w:r w:rsidR="001D479E">
        <w:t xml:space="preserve">‘provider equivalent’ hourly rate for </w:t>
      </w:r>
      <w:r w:rsidR="001F4E00">
        <w:t>2018 to 2019</w:t>
      </w:r>
    </w:p>
    <w:p w14:paraId="405D1021" w14:textId="09C4D114" w:rsidR="00E23D0B" w:rsidRDefault="00AB2569" w:rsidP="007075C9">
      <w:pPr>
        <w:pStyle w:val="DeptBullets"/>
        <w:numPr>
          <w:ilvl w:val="2"/>
          <w:numId w:val="10"/>
        </w:numPr>
        <w:spacing w:line="276" w:lineRule="auto"/>
        <w:ind w:left="1843" w:hanging="425"/>
      </w:pPr>
      <w:r>
        <w:t>i</w:t>
      </w:r>
      <w:r w:rsidR="00E23D0B">
        <w:t xml:space="preserve">f the funding rate </w:t>
      </w:r>
      <w:proofErr w:type="spellStart"/>
      <w:r w:rsidR="00E23D0B">
        <w:t>differentital</w:t>
      </w:r>
      <w:proofErr w:type="spellEnd"/>
      <w:r w:rsidR="00E23D0B">
        <w:t xml:space="preserve"> (‘F’) is:</w:t>
      </w:r>
    </w:p>
    <w:p w14:paraId="05EA06F4" w14:textId="3B6D7F40" w:rsidR="00764BE1" w:rsidRDefault="00841645" w:rsidP="00010DDA">
      <w:pPr>
        <w:pStyle w:val="DeptBullets"/>
        <w:numPr>
          <w:ilvl w:val="3"/>
          <w:numId w:val="10"/>
        </w:numPr>
        <w:spacing w:line="276" w:lineRule="auto"/>
        <w:ind w:left="3119" w:hanging="284"/>
      </w:pPr>
      <w:r>
        <w:t>positive</w:t>
      </w:r>
      <w:r w:rsidR="00301CF5">
        <w:t>,</w:t>
      </w:r>
      <w:r>
        <w:t xml:space="preserve"> </w:t>
      </w:r>
      <w:r w:rsidR="004D6E1C">
        <w:t>this</w:t>
      </w:r>
      <w:r w:rsidR="00301CF5">
        <w:t xml:space="preserve"> </w:t>
      </w:r>
      <w:r w:rsidR="004D6E1C">
        <w:t xml:space="preserve">means that </w:t>
      </w:r>
      <w:r>
        <w:t xml:space="preserve">the </w:t>
      </w:r>
      <w:r w:rsidR="00AB2569">
        <w:t>local authority’s</w:t>
      </w:r>
      <w:r w:rsidR="00B023A8">
        <w:t xml:space="preserve"> </w:t>
      </w:r>
      <w:r w:rsidR="001F4E00">
        <w:t>2016 to 2017</w:t>
      </w:r>
      <w:r w:rsidR="00B023A8">
        <w:t xml:space="preserve"> MNS hourly funding rate is </w:t>
      </w:r>
      <w:r w:rsidR="004D6E1C">
        <w:t xml:space="preserve">higher </w:t>
      </w:r>
      <w:r w:rsidR="00B023A8">
        <w:t xml:space="preserve">than their EYNFF </w:t>
      </w:r>
      <w:r w:rsidR="001F4E00">
        <w:t xml:space="preserve">2018 to </w:t>
      </w:r>
      <w:r w:rsidR="001F4E00">
        <w:lastRenderedPageBreak/>
        <w:t>2019</w:t>
      </w:r>
      <w:r w:rsidR="001D479E">
        <w:t xml:space="preserve"> </w:t>
      </w:r>
      <w:r w:rsidR="004D6E1C">
        <w:t>‘</w:t>
      </w:r>
      <w:r w:rsidR="00B023A8">
        <w:t>provider equivalent</w:t>
      </w:r>
      <w:r w:rsidR="004D6E1C">
        <w:t>’</w:t>
      </w:r>
      <w:r w:rsidR="00B023A8">
        <w:t xml:space="preserve"> hourly rate, and</w:t>
      </w:r>
      <w:r w:rsidR="00301CF5">
        <w:t xml:space="preserve"> therefore</w:t>
      </w:r>
      <w:r w:rsidR="00B023A8">
        <w:t xml:space="preserve"> the </w:t>
      </w:r>
      <w:r w:rsidR="00AB2569">
        <w:t xml:space="preserve">local authority </w:t>
      </w:r>
      <w:r w:rsidR="00947AA1">
        <w:t xml:space="preserve">is in line to </w:t>
      </w:r>
      <w:r w:rsidR="00AB2569">
        <w:t xml:space="preserve">receive supplementary </w:t>
      </w:r>
      <w:proofErr w:type="gramStart"/>
      <w:r w:rsidR="00AB2569">
        <w:t>funding</w:t>
      </w:r>
      <w:proofErr w:type="gramEnd"/>
    </w:p>
    <w:p w14:paraId="7E197975" w14:textId="5B11D80F" w:rsidR="00764BE1" w:rsidRDefault="00841645" w:rsidP="00010DDA">
      <w:pPr>
        <w:pStyle w:val="DeptBullets"/>
        <w:numPr>
          <w:ilvl w:val="3"/>
          <w:numId w:val="10"/>
        </w:numPr>
        <w:spacing w:line="276" w:lineRule="auto"/>
        <w:ind w:left="3119" w:hanging="284"/>
      </w:pPr>
      <w:r>
        <w:t>negative or equal to zero</w:t>
      </w:r>
      <w:r w:rsidR="00764BE1">
        <w:t xml:space="preserve">, </w:t>
      </w:r>
      <w:r w:rsidR="004D6E1C">
        <w:t xml:space="preserve">this means that </w:t>
      </w:r>
      <w:r w:rsidR="00764BE1">
        <w:t xml:space="preserve">the </w:t>
      </w:r>
      <w:r w:rsidR="00AB2569">
        <w:t>local authority</w:t>
      </w:r>
      <w:r w:rsidR="00764BE1">
        <w:t xml:space="preserve"> will not receive any supplementary funding, as there is no funding </w:t>
      </w:r>
      <w:r w:rsidR="00A777DF">
        <w:t>differen</w:t>
      </w:r>
      <w:r w:rsidR="00947AA1">
        <w:t>t</w:t>
      </w:r>
      <w:r w:rsidR="00512E4A">
        <w:t>ial</w:t>
      </w:r>
      <w:r w:rsidR="00A777DF">
        <w:t xml:space="preserve"> </w:t>
      </w:r>
      <w:r w:rsidR="00AB2569">
        <w:t xml:space="preserve">to </w:t>
      </w:r>
      <w:proofErr w:type="gramStart"/>
      <w:r w:rsidR="00AB2569">
        <w:t>protect</w:t>
      </w:r>
      <w:proofErr w:type="gramEnd"/>
    </w:p>
    <w:p w14:paraId="32556DE6" w14:textId="449AFF2A" w:rsidR="00764BE1" w:rsidRDefault="00AB2569" w:rsidP="005657D9">
      <w:pPr>
        <w:pStyle w:val="DeptBullets"/>
        <w:numPr>
          <w:ilvl w:val="1"/>
          <w:numId w:val="10"/>
        </w:numPr>
        <w:spacing w:line="276" w:lineRule="auto"/>
      </w:pPr>
      <w:r>
        <w:t>c</w:t>
      </w:r>
      <w:r w:rsidR="00764BE1">
        <w:t xml:space="preserve">alculating the MNS supplementary funding allocation for </w:t>
      </w:r>
      <w:r w:rsidR="001F4E00">
        <w:t>2018 to 2019</w:t>
      </w:r>
    </w:p>
    <w:p w14:paraId="67C49A0E" w14:textId="59FFE5A5" w:rsidR="00764BE1" w:rsidRDefault="00AB2569" w:rsidP="005657D9">
      <w:pPr>
        <w:pStyle w:val="DeptBullets"/>
        <w:numPr>
          <w:ilvl w:val="2"/>
          <w:numId w:val="10"/>
        </w:numPr>
        <w:spacing w:line="276" w:lineRule="auto"/>
        <w:ind w:left="1843" w:hanging="425"/>
      </w:pPr>
      <w:r>
        <w:t>t</w:t>
      </w:r>
      <w:r w:rsidR="00764BE1">
        <w:t xml:space="preserve">he initial </w:t>
      </w:r>
      <w:r w:rsidR="00841645">
        <w:t xml:space="preserve">MNS </w:t>
      </w:r>
      <w:r w:rsidR="00764BE1">
        <w:t xml:space="preserve">supplementary funding allocation for </w:t>
      </w:r>
      <w:r w:rsidR="001F4E00">
        <w:t>2018 to 2019</w:t>
      </w:r>
      <w:r w:rsidR="00764BE1">
        <w:t xml:space="preserve"> </w:t>
      </w:r>
      <w:r w:rsidR="0017317B">
        <w:t>will be</w:t>
      </w:r>
      <w:r w:rsidR="00764BE1">
        <w:t xml:space="preserve"> calculated as follows:</w:t>
      </w:r>
    </w:p>
    <w:p w14:paraId="4F381E61" w14:textId="5D72978E" w:rsidR="008E6D8B" w:rsidRDefault="008E6D8B" w:rsidP="00A5077A">
      <w:pPr>
        <w:pStyle w:val="DeptBullets"/>
        <w:numPr>
          <w:ilvl w:val="0"/>
          <w:numId w:val="0"/>
        </w:numPr>
        <w:spacing w:line="276" w:lineRule="auto"/>
        <w:ind w:left="1134"/>
        <w:jc w:val="center"/>
      </w:pPr>
    </w:p>
    <w:p w14:paraId="3745E338" w14:textId="330B79DF" w:rsidR="00AD0A75" w:rsidRDefault="00AD0A75" w:rsidP="00A5077A">
      <w:pPr>
        <w:pStyle w:val="DeptBullets"/>
        <w:numPr>
          <w:ilvl w:val="0"/>
          <w:numId w:val="0"/>
        </w:numPr>
        <w:spacing w:line="276" w:lineRule="auto"/>
        <w:ind w:left="1134"/>
        <w:jc w:val="center"/>
      </w:pPr>
      <w:r>
        <w:rPr>
          <w:noProof/>
          <w:lang w:eastAsia="en-GB"/>
        </w:rPr>
        <w:drawing>
          <wp:inline distT="0" distB="0" distL="0" distR="0" wp14:anchorId="15A6C2E3" wp14:editId="58702DEB">
            <wp:extent cx="5810250" cy="838200"/>
            <wp:effectExtent l="0" t="0" r="0" b="0"/>
            <wp:docPr id="4" name="Picture 4" descr="Calculation to show how the initial allocation for MNS supplementary funding is calculated. " title="MNS supplementary funding intial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0" cy="838200"/>
                    </a:xfrm>
                    <a:prstGeom prst="rect">
                      <a:avLst/>
                    </a:prstGeom>
                    <a:noFill/>
                    <a:ln>
                      <a:noFill/>
                    </a:ln>
                  </pic:spPr>
                </pic:pic>
              </a:graphicData>
            </a:graphic>
          </wp:inline>
        </w:drawing>
      </w:r>
    </w:p>
    <w:p w14:paraId="7C56FD59" w14:textId="7DB9127F" w:rsidR="00764BE1" w:rsidRDefault="008E6D8B" w:rsidP="00615365">
      <w:pPr>
        <w:pStyle w:val="DeptBullets"/>
        <w:numPr>
          <w:ilvl w:val="0"/>
          <w:numId w:val="0"/>
        </w:numPr>
        <w:spacing w:line="276" w:lineRule="auto"/>
        <w:ind w:left="1843"/>
      </w:pPr>
      <w:r>
        <w:t>where</w:t>
      </w:r>
      <w:r w:rsidR="00784423">
        <w:t>:</w:t>
      </w:r>
    </w:p>
    <w:p w14:paraId="7C1A2935" w14:textId="4B8E8F85" w:rsidR="00AD0A75" w:rsidRDefault="00AB2569" w:rsidP="00010DDA">
      <w:pPr>
        <w:pStyle w:val="DeptBullets"/>
        <w:numPr>
          <w:ilvl w:val="0"/>
          <w:numId w:val="0"/>
        </w:numPr>
        <w:spacing w:line="276" w:lineRule="auto"/>
        <w:ind w:left="2552" w:hanging="425"/>
      </w:pPr>
      <w:r>
        <w:t>H = t</w:t>
      </w:r>
      <w:r w:rsidR="00AD0A75">
        <w:t>he</w:t>
      </w:r>
      <w:r w:rsidR="00301CF5" w:rsidRPr="00301CF5">
        <w:t xml:space="preserve"> </w:t>
      </w:r>
      <w:r w:rsidR="00301CF5">
        <w:t>initial</w:t>
      </w:r>
      <w:r w:rsidR="00AD0A75">
        <w:t xml:space="preserve"> MNS supplementary funding allocation for </w:t>
      </w:r>
      <w:r w:rsidR="001F4E00">
        <w:t>2018 to 2019</w:t>
      </w:r>
    </w:p>
    <w:p w14:paraId="3A965011" w14:textId="0C0BC78C" w:rsidR="001D479E" w:rsidRDefault="001D479E" w:rsidP="00010DDA">
      <w:pPr>
        <w:pStyle w:val="DeptBullets"/>
        <w:numPr>
          <w:ilvl w:val="0"/>
          <w:numId w:val="0"/>
        </w:numPr>
        <w:spacing w:line="276" w:lineRule="auto"/>
        <w:ind w:left="2552" w:hanging="425"/>
      </w:pPr>
      <w:r>
        <w:t xml:space="preserve">F = </w:t>
      </w:r>
      <w:r w:rsidR="00AB2569">
        <w:t>t</w:t>
      </w:r>
      <w:r>
        <w:t xml:space="preserve">he </w:t>
      </w:r>
      <w:r w:rsidR="00AB2569">
        <w:t>local authority</w:t>
      </w:r>
      <w:r>
        <w:t>’s MNS funding rate differential</w:t>
      </w:r>
    </w:p>
    <w:p w14:paraId="30423F9C" w14:textId="7DC16FE0" w:rsidR="00764BE1" w:rsidRDefault="00764BE1" w:rsidP="00010DDA">
      <w:pPr>
        <w:pStyle w:val="DeptBullets"/>
        <w:numPr>
          <w:ilvl w:val="0"/>
          <w:numId w:val="0"/>
        </w:numPr>
        <w:spacing w:line="276" w:lineRule="auto"/>
        <w:ind w:left="2552" w:hanging="425"/>
      </w:pPr>
      <w:r>
        <w:t>G =</w:t>
      </w:r>
      <w:r w:rsidR="00EC358E">
        <w:t xml:space="preserve"> </w:t>
      </w:r>
      <w:r w:rsidR="00AB2569">
        <w:t>t</w:t>
      </w:r>
      <w:r w:rsidR="00EC358E">
        <w:t>he</w:t>
      </w:r>
      <w:r>
        <w:t xml:space="preserve"> </w:t>
      </w:r>
      <w:r w:rsidR="00AB2569">
        <w:t>local authority</w:t>
      </w:r>
      <w:r>
        <w:t xml:space="preserve">’s PTE </w:t>
      </w:r>
      <w:r w:rsidR="0017317B">
        <w:t xml:space="preserve">count </w:t>
      </w:r>
      <w:r>
        <w:t xml:space="preserve">from </w:t>
      </w:r>
      <w:r w:rsidR="008E6D8B">
        <w:t xml:space="preserve">the </w:t>
      </w:r>
      <w:r>
        <w:t xml:space="preserve">January 2017 census for </w:t>
      </w:r>
      <w:r w:rsidR="0017317B">
        <w:t xml:space="preserve">children taking up </w:t>
      </w:r>
      <w:r w:rsidR="008E6D8B">
        <w:t>the</w:t>
      </w:r>
      <w:r>
        <w:t xml:space="preserve"> univ</w:t>
      </w:r>
      <w:r w:rsidR="008E6D8B">
        <w:t xml:space="preserve">ersal </w:t>
      </w:r>
      <w:r w:rsidR="0017317B">
        <w:t xml:space="preserve">15 </w:t>
      </w:r>
      <w:r w:rsidR="008E6D8B">
        <w:t>hours entitlement</w:t>
      </w:r>
      <w:r w:rsidR="0017317B">
        <w:t xml:space="preserve"> in MNS </w:t>
      </w:r>
      <w:r w:rsidR="00512E4A">
        <w:t>settings</w:t>
      </w:r>
    </w:p>
    <w:p w14:paraId="788F1C4F" w14:textId="2E73B6AE" w:rsidR="00764BE1" w:rsidRDefault="00764BE1" w:rsidP="00045BEA">
      <w:pPr>
        <w:pStyle w:val="DeptBullets"/>
        <w:numPr>
          <w:ilvl w:val="0"/>
          <w:numId w:val="0"/>
        </w:numPr>
        <w:spacing w:line="276" w:lineRule="auto"/>
        <w:ind w:left="2410"/>
      </w:pPr>
    </w:p>
    <w:p w14:paraId="7A179DE8" w14:textId="7775BBC6" w:rsidR="00C62087" w:rsidRDefault="005657D9" w:rsidP="008E6D8B">
      <w:pPr>
        <w:pStyle w:val="DeptBullets"/>
        <w:numPr>
          <w:ilvl w:val="0"/>
          <w:numId w:val="0"/>
        </w:numPr>
        <w:tabs>
          <w:tab w:val="right" w:pos="9498"/>
        </w:tabs>
        <w:spacing w:line="276" w:lineRule="auto"/>
        <w:ind w:left="284"/>
      </w:pPr>
      <w:r>
        <w:br w:type="page"/>
      </w:r>
      <w:r w:rsidR="001B0323">
        <w:rPr>
          <w:noProof/>
          <w:lang w:eastAsia="en-GB"/>
        </w:rPr>
        <w:lastRenderedPageBreak/>
        <w:drawing>
          <wp:inline distT="0" distB="0" distL="0" distR="0" wp14:anchorId="17337C88" wp14:editId="2D3D32DE">
            <wp:extent cx="1778000" cy="1079500"/>
            <wp:effectExtent l="0" t="0" r="0" b="6350"/>
            <wp:docPr id="5"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1" name="Picture 8" title="Education and Skills Funding Agency"/>
                    <pic:cNvPicPr/>
                  </pic:nvPicPr>
                  <pic:blipFill>
                    <a:blip r:embed="rId14"/>
                    <a:srcRect/>
                    <a:stretch>
                      <a:fillRect/>
                    </a:stretch>
                  </pic:blipFill>
                  <pic:spPr>
                    <a:xfrm>
                      <a:off x="0" y="0"/>
                      <a:ext cx="1778000" cy="1079500"/>
                    </a:xfrm>
                    <a:prstGeom prst="rect">
                      <a:avLst/>
                    </a:prstGeom>
                    <a:noFill/>
                    <a:ln>
                      <a:noFill/>
                      <a:prstDash/>
                    </a:ln>
                  </pic:spPr>
                </pic:pic>
              </a:graphicData>
            </a:graphic>
          </wp:inline>
        </w:drawing>
      </w:r>
      <w:r w:rsidR="00C62087">
        <w:tab/>
      </w:r>
    </w:p>
    <w:p w14:paraId="7711BF8B" w14:textId="63860C6C" w:rsidR="00C62087" w:rsidRDefault="00B26EE6" w:rsidP="00586576">
      <w:pPr>
        <w:pStyle w:val="CopyrightSpacing"/>
        <w:spacing w:line="276" w:lineRule="auto"/>
      </w:pPr>
      <w:r>
        <w:t>© Crown copyright 2017</w:t>
      </w:r>
    </w:p>
    <w:p w14:paraId="7EEE37D8" w14:textId="77777777" w:rsidR="00C62087" w:rsidRPr="0090521B" w:rsidRDefault="00C62087" w:rsidP="00586576">
      <w:pPr>
        <w:pStyle w:val="CopyrightBox"/>
        <w:spacing w:line="276" w:lineRule="auto"/>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13E15F85" w14:textId="77777777" w:rsidR="00C62087" w:rsidRDefault="00C62087" w:rsidP="00586576">
      <w:pPr>
        <w:pStyle w:val="LicenceIntro"/>
        <w:spacing w:line="276" w:lineRule="auto"/>
      </w:pPr>
      <w:r>
        <w:t>To view this licence:</w:t>
      </w:r>
    </w:p>
    <w:p w14:paraId="481A2325" w14:textId="77777777" w:rsidR="00C62087" w:rsidRDefault="00C62087" w:rsidP="00586576">
      <w:pPr>
        <w:pStyle w:val="Licence"/>
        <w:spacing w:line="276" w:lineRule="auto"/>
      </w:pPr>
      <w:r>
        <w:t xml:space="preserve">visit </w:t>
      </w:r>
      <w:r>
        <w:tab/>
      </w:r>
      <w:hyperlink r:id="rId24" w:history="1">
        <w:r>
          <w:rPr>
            <w:rStyle w:val="Hyperlink"/>
            <w:rFonts w:cs="Arial"/>
          </w:rPr>
          <w:t>www.nationalarchives.gov.uk/doc/open-government-licence/version/3</w:t>
        </w:r>
      </w:hyperlink>
      <w:r>
        <w:rPr>
          <w:rFonts w:cs="Arial"/>
        </w:rPr>
        <w:t> </w:t>
      </w:r>
    </w:p>
    <w:p w14:paraId="2DC31444" w14:textId="77777777" w:rsidR="00C62087" w:rsidRDefault="00C62087" w:rsidP="00586576">
      <w:pPr>
        <w:pStyle w:val="Licence"/>
        <w:spacing w:line="276" w:lineRule="auto"/>
        <w:rPr>
          <w:rStyle w:val="Hyperlink"/>
        </w:rPr>
      </w:pPr>
      <w:r>
        <w:t xml:space="preserve">email </w:t>
      </w:r>
      <w:r>
        <w:tab/>
      </w:r>
      <w:hyperlink r:id="rId25" w:tooltip="The National Archives' email address" w:history="1">
        <w:r>
          <w:rPr>
            <w:rStyle w:val="Hyperlink"/>
          </w:rPr>
          <w:t>psi@nationalarchives.gsi.gov.uk</w:t>
        </w:r>
      </w:hyperlink>
    </w:p>
    <w:p w14:paraId="2FED35AB" w14:textId="77777777" w:rsidR="00C62087" w:rsidRDefault="00C62087" w:rsidP="00586576">
      <w:pPr>
        <w:pStyle w:val="Licence"/>
        <w:spacing w:line="276" w:lineRule="auto"/>
      </w:pPr>
      <w:r>
        <w:t>write to</w:t>
      </w:r>
      <w:r>
        <w:tab/>
        <w:t xml:space="preserve">Information Policy Team, The National Archives, Kew, London, TW9 </w:t>
      </w:r>
      <w:proofErr w:type="gramStart"/>
      <w:r>
        <w:t>4DU</w:t>
      </w:r>
      <w:proofErr w:type="gramEnd"/>
    </w:p>
    <w:p w14:paraId="3A30A71B" w14:textId="77777777" w:rsidR="00C62087" w:rsidRDefault="00C62087" w:rsidP="00586576">
      <w:pPr>
        <w:pStyle w:val="LicenceIntro"/>
        <w:spacing w:line="276" w:lineRule="auto"/>
      </w:pPr>
      <w:r>
        <w:t>About this publication:</w:t>
      </w:r>
    </w:p>
    <w:p w14:paraId="7787834F" w14:textId="77777777" w:rsidR="00C62087" w:rsidRDefault="00C62087" w:rsidP="00586576">
      <w:pPr>
        <w:pStyle w:val="Licence"/>
        <w:spacing w:line="276" w:lineRule="auto"/>
      </w:pPr>
      <w:proofErr w:type="gramStart"/>
      <w:r>
        <w:t xml:space="preserve">enquiries  </w:t>
      </w:r>
      <w:r>
        <w:tab/>
      </w:r>
      <w:proofErr w:type="gramEnd"/>
      <w:hyperlink r:id="rId26" w:tooltip="Department for Education contact us list" w:history="1">
        <w:r>
          <w:rPr>
            <w:rStyle w:val="Hyperlink"/>
          </w:rPr>
          <w:t>www.education.gov.uk/contactus</w:t>
        </w:r>
      </w:hyperlink>
      <w:r>
        <w:t xml:space="preserve"> </w:t>
      </w:r>
    </w:p>
    <w:p w14:paraId="24C55900" w14:textId="77777777" w:rsidR="00C62087" w:rsidRDefault="00C62087" w:rsidP="00586576">
      <w:pPr>
        <w:pStyle w:val="Licence"/>
        <w:spacing w:line="276" w:lineRule="auto"/>
      </w:pPr>
      <w:r>
        <w:t xml:space="preserve">download </w:t>
      </w:r>
      <w:r>
        <w:tab/>
      </w:r>
      <w:hyperlink r:id="rId27" w:history="1">
        <w:r w:rsidRPr="00D42B65">
          <w:rPr>
            <w:rStyle w:val="Hyperlink"/>
          </w:rPr>
          <w:t>www.gov.uk/government/publications</w:t>
        </w:r>
      </w:hyperlink>
      <w:r>
        <w:t xml:space="preserve"> </w:t>
      </w:r>
    </w:p>
    <w:p w14:paraId="41F40CAC" w14:textId="441F92FF" w:rsidR="00C62087" w:rsidRPr="007D29D3" w:rsidRDefault="00C62087" w:rsidP="00586576">
      <w:pPr>
        <w:pStyle w:val="Reference"/>
        <w:spacing w:line="276" w:lineRule="auto"/>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C62087" w14:paraId="35CC08B6" w14:textId="77777777" w:rsidTr="000A4CA7">
        <w:trPr>
          <w:tblHeader/>
        </w:trPr>
        <w:tc>
          <w:tcPr>
            <w:tcW w:w="1276" w:type="dxa"/>
            <w:hideMark/>
          </w:tcPr>
          <w:p w14:paraId="4A96FAC0" w14:textId="77777777" w:rsidR="00C62087" w:rsidRDefault="00C62087" w:rsidP="00586576">
            <w:pPr>
              <w:pStyle w:val="SocialMedia"/>
              <w:tabs>
                <w:tab w:val="clear" w:pos="4253"/>
                <w:tab w:val="left" w:pos="176"/>
              </w:tabs>
              <w:spacing w:line="276" w:lineRule="auto"/>
            </w:pPr>
            <w:r>
              <w:tab/>
            </w:r>
            <w:r>
              <w:drawing>
                <wp:inline distT="0" distB="0" distL="0" distR="0" wp14:anchorId="5C674DD4" wp14:editId="0221A2E0">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D1E708B" w14:textId="77777777" w:rsidR="00C62087" w:rsidRDefault="00C62087" w:rsidP="00586576">
            <w:pPr>
              <w:pStyle w:val="SocialMedia"/>
              <w:spacing w:line="276" w:lineRule="auto"/>
            </w:pPr>
            <w:r>
              <w:t xml:space="preserve">Follow us on Twitter: </w:t>
            </w:r>
            <w:hyperlink r:id="rId29" w:tooltip="View the DfE Twitter profile page" w:history="1">
              <w:r>
                <w:rPr>
                  <w:rStyle w:val="Hyperlink"/>
                </w:rPr>
                <w:t>@educationgovuk</w:t>
              </w:r>
            </w:hyperlink>
          </w:p>
        </w:tc>
        <w:tc>
          <w:tcPr>
            <w:tcW w:w="935" w:type="dxa"/>
            <w:hideMark/>
          </w:tcPr>
          <w:p w14:paraId="33D04157" w14:textId="77777777" w:rsidR="00C62087" w:rsidRDefault="00C62087" w:rsidP="00586576">
            <w:pPr>
              <w:pStyle w:val="SocialMedia"/>
              <w:spacing w:line="276" w:lineRule="auto"/>
            </w:pPr>
            <w:r>
              <w:drawing>
                <wp:inline distT="0" distB="0" distL="0" distR="0" wp14:anchorId="5F720B38" wp14:editId="372CC5BF">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7676CF6" w14:textId="77777777" w:rsidR="00C62087" w:rsidRDefault="00C62087" w:rsidP="00586576">
            <w:pPr>
              <w:pStyle w:val="SocialMedia"/>
              <w:spacing w:line="276" w:lineRule="auto"/>
            </w:pPr>
            <w:r>
              <w:t>Like us on Facebook:</w:t>
            </w:r>
            <w:r>
              <w:br/>
            </w:r>
            <w:hyperlink r:id="rId31" w:tooltip="Link the DfE on Facebook" w:history="1">
              <w:r>
                <w:rPr>
                  <w:rStyle w:val="Hyperlink"/>
                </w:rPr>
                <w:t>facebook.com/educationgovuk</w:t>
              </w:r>
            </w:hyperlink>
          </w:p>
        </w:tc>
      </w:tr>
      <w:bookmarkEnd w:id="13"/>
      <w:bookmarkEnd w:id="14"/>
      <w:bookmarkEnd w:id="2"/>
      <w:bookmarkEnd w:id="1"/>
      <w:bookmarkEnd w:id="0"/>
    </w:tbl>
    <w:p w14:paraId="13E54593" w14:textId="77777777" w:rsidR="00C62087" w:rsidRDefault="00C62087" w:rsidP="00586576">
      <w:pPr>
        <w:pStyle w:val="DeptBullets"/>
        <w:numPr>
          <w:ilvl w:val="0"/>
          <w:numId w:val="0"/>
        </w:numPr>
        <w:spacing w:line="276" w:lineRule="auto"/>
        <w:ind w:left="1080"/>
      </w:pPr>
    </w:p>
    <w:sectPr w:rsidR="00C62087" w:rsidSect="004C6B3A">
      <w:headerReference w:type="default" r:id="rId32"/>
      <w:footerReference w:type="default" r:id="rId33"/>
      <w:headerReference w:type="first" r:id="rId34"/>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F4F0" w14:textId="77777777" w:rsidR="007E24D3" w:rsidRDefault="007E24D3" w:rsidP="009F41B6">
      <w:r>
        <w:separator/>
      </w:r>
    </w:p>
    <w:p w14:paraId="2FA98CA1" w14:textId="77777777" w:rsidR="007E24D3" w:rsidRDefault="007E24D3" w:rsidP="009F41B6"/>
  </w:endnote>
  <w:endnote w:type="continuationSeparator" w:id="0">
    <w:p w14:paraId="0124E5EF" w14:textId="77777777" w:rsidR="007E24D3" w:rsidRDefault="007E24D3" w:rsidP="009F41B6">
      <w:r>
        <w:continuationSeparator/>
      </w:r>
    </w:p>
    <w:p w14:paraId="7F95AC9B" w14:textId="77777777" w:rsidR="007E24D3" w:rsidRDefault="007E24D3" w:rsidP="009F41B6"/>
  </w:endnote>
  <w:endnote w:type="continuationNotice" w:id="1">
    <w:p w14:paraId="56C4CF8D" w14:textId="77777777" w:rsidR="007E24D3" w:rsidRDefault="007E2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84706"/>
      <w:docPartObj>
        <w:docPartGallery w:val="Page Numbers (Bottom of Page)"/>
        <w:docPartUnique/>
      </w:docPartObj>
    </w:sdtPr>
    <w:sdtEndPr>
      <w:rPr>
        <w:noProof/>
      </w:rPr>
    </w:sdtEndPr>
    <w:sdtContent>
      <w:p w14:paraId="1931ABBB" w14:textId="7B1B5A2C" w:rsidR="007E24D3" w:rsidRDefault="007E24D3" w:rsidP="005A65F5">
        <w:pPr>
          <w:pStyle w:val="Footer"/>
          <w:ind w:firstLine="4513"/>
        </w:pPr>
        <w:r>
          <w:fldChar w:fldCharType="begin"/>
        </w:r>
        <w:r>
          <w:instrText xml:space="preserve"> PAGE   \* MERGEFORMAT </w:instrText>
        </w:r>
        <w:r>
          <w:fldChar w:fldCharType="separate"/>
        </w:r>
        <w:r w:rsidR="00335C9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CC40" w14:textId="77777777" w:rsidR="007E24D3" w:rsidRDefault="007E24D3" w:rsidP="009F41B6">
      <w:r>
        <w:separator/>
      </w:r>
    </w:p>
    <w:p w14:paraId="28A56634" w14:textId="77777777" w:rsidR="007E24D3" w:rsidRDefault="007E24D3" w:rsidP="009F41B6"/>
  </w:footnote>
  <w:footnote w:type="continuationSeparator" w:id="0">
    <w:p w14:paraId="1F62A1AE" w14:textId="77777777" w:rsidR="007E24D3" w:rsidRDefault="007E24D3" w:rsidP="009F41B6">
      <w:r>
        <w:continuationSeparator/>
      </w:r>
    </w:p>
    <w:p w14:paraId="25E15BF7" w14:textId="77777777" w:rsidR="007E24D3" w:rsidRDefault="007E24D3" w:rsidP="009F41B6"/>
  </w:footnote>
  <w:footnote w:type="continuationNotice" w:id="1">
    <w:p w14:paraId="6419A6A2" w14:textId="77777777" w:rsidR="007E24D3" w:rsidRDefault="007E24D3">
      <w:pPr>
        <w:spacing w:after="0" w:line="240" w:lineRule="auto"/>
      </w:pPr>
    </w:p>
  </w:footnote>
  <w:footnote w:id="2">
    <w:p w14:paraId="25ED2FFA" w14:textId="09362785" w:rsidR="007E24D3" w:rsidRDefault="007E24D3">
      <w:pPr>
        <w:pStyle w:val="FootnoteText"/>
      </w:pPr>
      <w:r>
        <w:rPr>
          <w:rStyle w:val="FootnoteReference"/>
        </w:rPr>
        <w:footnoteRef/>
      </w:r>
      <w:r>
        <w:t xml:space="preserve"> Data on central and contingency spend </w:t>
      </w:r>
      <w:r w:rsidRPr="001C4129">
        <w:t xml:space="preserve">comes from the </w:t>
      </w:r>
      <w:r>
        <w:t>2017 to 2018</w:t>
      </w:r>
      <w:r w:rsidRPr="001C4129">
        <w:t xml:space="preserve"> Section 251 early years proforma budget, as reported by LAs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DB37" w14:textId="2F1B6FC7" w:rsidR="00C577C2" w:rsidRDefault="00C577C2">
    <w:pPr>
      <w:pStyle w:val="Header"/>
    </w:pPr>
    <w:r>
      <w:t xml:space="preserve">This document has been withdrawn. </w:t>
    </w:r>
  </w:p>
  <w:p w14:paraId="5DFC287F" w14:textId="77777777" w:rsidR="00C577C2" w:rsidRDefault="00C57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F18C" w14:textId="102510D0" w:rsidR="00C577C2" w:rsidRDefault="00C577C2">
    <w:pPr>
      <w:pStyle w:val="Header"/>
    </w:pPr>
  </w:p>
  <w:p w14:paraId="1D2B2522" w14:textId="77777777" w:rsidR="00C577C2" w:rsidRDefault="00C57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DCB614C"/>
    <w:multiLevelType w:val="hybridMultilevel"/>
    <w:tmpl w:val="89201B7C"/>
    <w:lvl w:ilvl="0" w:tplc="BB787830">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9B023EE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E10AB"/>
    <w:multiLevelType w:val="hybridMultilevel"/>
    <w:tmpl w:val="69601D82"/>
    <w:lvl w:ilvl="0" w:tplc="BB787830">
      <w:start w:val="1"/>
      <w:numFmt w:val="decimal"/>
      <w:lvlText w:val="%1."/>
      <w:lvlJc w:val="left"/>
      <w:pPr>
        <w:ind w:left="644" w:hanging="360"/>
      </w:pPr>
    </w:lvl>
    <w:lvl w:ilvl="1" w:tplc="08090015">
      <w:start w:val="1"/>
      <w:numFmt w:val="upp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9B023EE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3BA0B6C"/>
    <w:multiLevelType w:val="hybridMultilevel"/>
    <w:tmpl w:val="E0301D7A"/>
    <w:lvl w:ilvl="0" w:tplc="BB787830">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9B023EE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DF6554"/>
    <w:multiLevelType w:val="hybridMultilevel"/>
    <w:tmpl w:val="089C95D0"/>
    <w:lvl w:ilvl="0" w:tplc="BB787830">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9B023EE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24E3D54"/>
    <w:multiLevelType w:val="hybridMultilevel"/>
    <w:tmpl w:val="9E384306"/>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88602D90">
      <w:start w:val="27"/>
      <w:numFmt w:val="bullet"/>
      <w:lvlText w:val="-"/>
      <w:lvlJc w:val="left"/>
      <w:pPr>
        <w:ind w:left="3240" w:hanging="360"/>
      </w:pPr>
      <w:rPr>
        <w:rFonts w:ascii="Arial" w:eastAsia="Times New Roman" w:hAnsi="Arial" w:cs="Aria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3707AF"/>
    <w:multiLevelType w:val="hybridMultilevel"/>
    <w:tmpl w:val="2B12B3D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C776C54"/>
    <w:multiLevelType w:val="hybridMultilevel"/>
    <w:tmpl w:val="3E661EE6"/>
    <w:lvl w:ilvl="0" w:tplc="BB787830">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9B023EE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F235E"/>
    <w:multiLevelType w:val="hybridMultilevel"/>
    <w:tmpl w:val="FCB6624C"/>
    <w:lvl w:ilvl="0" w:tplc="BB787830">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9B023EE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E3044"/>
    <w:multiLevelType w:val="hybridMultilevel"/>
    <w:tmpl w:val="3CDE5D6E"/>
    <w:lvl w:ilvl="0" w:tplc="BB787830">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358A9"/>
    <w:multiLevelType w:val="hybridMultilevel"/>
    <w:tmpl w:val="317E1B20"/>
    <w:lvl w:ilvl="0" w:tplc="BB787830">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9B023EE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2567039">
    <w:abstractNumId w:val="14"/>
  </w:num>
  <w:num w:numId="2" w16cid:durableId="618685757">
    <w:abstractNumId w:val="6"/>
  </w:num>
  <w:num w:numId="3" w16cid:durableId="810096860">
    <w:abstractNumId w:val="0"/>
  </w:num>
  <w:num w:numId="4" w16cid:durableId="1328823318">
    <w:abstractNumId w:val="5"/>
  </w:num>
  <w:num w:numId="5" w16cid:durableId="1069228248">
    <w:abstractNumId w:val="2"/>
  </w:num>
  <w:num w:numId="6" w16cid:durableId="332882797">
    <w:abstractNumId w:val="1"/>
  </w:num>
  <w:num w:numId="7" w16cid:durableId="7947540">
    <w:abstractNumId w:val="10"/>
  </w:num>
  <w:num w:numId="8" w16cid:durableId="2085293311">
    <w:abstractNumId w:val="8"/>
  </w:num>
  <w:num w:numId="9" w16cid:durableId="708803792">
    <w:abstractNumId w:val="11"/>
  </w:num>
  <w:num w:numId="10" w16cid:durableId="1440680338">
    <w:abstractNumId w:val="7"/>
  </w:num>
  <w:num w:numId="11" w16cid:durableId="1986664215">
    <w:abstractNumId w:val="12"/>
  </w:num>
  <w:num w:numId="12" w16cid:durableId="1374385779">
    <w:abstractNumId w:val="17"/>
  </w:num>
  <w:num w:numId="13" w16cid:durableId="317195134">
    <w:abstractNumId w:val="15"/>
  </w:num>
  <w:num w:numId="14" w16cid:durableId="1454591578">
    <w:abstractNumId w:val="18"/>
  </w:num>
  <w:num w:numId="15" w16cid:durableId="544174391">
    <w:abstractNumId w:val="16"/>
  </w:num>
  <w:num w:numId="16" w16cid:durableId="155652717">
    <w:abstractNumId w:val="9"/>
  </w:num>
  <w:num w:numId="17" w16cid:durableId="1050574620">
    <w:abstractNumId w:val="3"/>
  </w:num>
  <w:num w:numId="18" w16cid:durableId="475027350">
    <w:abstractNumId w:val="11"/>
  </w:num>
  <w:num w:numId="19" w16cid:durableId="249199726">
    <w:abstractNumId w:val="11"/>
  </w:num>
  <w:num w:numId="20" w16cid:durableId="1299526859">
    <w:abstractNumId w:val="11"/>
  </w:num>
  <w:num w:numId="21" w16cid:durableId="2046253954">
    <w:abstractNumId w:val="11"/>
  </w:num>
  <w:num w:numId="22" w16cid:durableId="1557081419">
    <w:abstractNumId w:val="11"/>
  </w:num>
  <w:num w:numId="23" w16cid:durableId="939291588">
    <w:abstractNumId w:val="13"/>
  </w:num>
  <w:num w:numId="24" w16cid:durableId="1094284179">
    <w:abstractNumId w:val="4"/>
  </w:num>
  <w:num w:numId="25" w16cid:durableId="230312652">
    <w:abstractNumId w:val="11"/>
  </w:num>
  <w:num w:numId="26" w16cid:durableId="232350294">
    <w:abstractNumId w:val="11"/>
  </w:num>
  <w:num w:numId="27" w16cid:durableId="449590515">
    <w:abstractNumId w:val="11"/>
  </w:num>
  <w:num w:numId="28" w16cid:durableId="915669010">
    <w:abstractNumId w:val="11"/>
  </w:num>
  <w:num w:numId="29" w16cid:durableId="82646750">
    <w:abstractNumId w:val="11"/>
  </w:num>
  <w:num w:numId="30" w16cid:durableId="5467250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0D65"/>
    <w:rsid w:val="0000193F"/>
    <w:rsid w:val="00004E7D"/>
    <w:rsid w:val="00007D0D"/>
    <w:rsid w:val="0001019A"/>
    <w:rsid w:val="00010DDA"/>
    <w:rsid w:val="00011676"/>
    <w:rsid w:val="00011A88"/>
    <w:rsid w:val="00013A6E"/>
    <w:rsid w:val="00020641"/>
    <w:rsid w:val="000207F7"/>
    <w:rsid w:val="00021C71"/>
    <w:rsid w:val="0002203B"/>
    <w:rsid w:val="00023913"/>
    <w:rsid w:val="00024794"/>
    <w:rsid w:val="00024D4D"/>
    <w:rsid w:val="00030ABD"/>
    <w:rsid w:val="00031CB5"/>
    <w:rsid w:val="00031F36"/>
    <w:rsid w:val="0003284E"/>
    <w:rsid w:val="00034A84"/>
    <w:rsid w:val="00036284"/>
    <w:rsid w:val="00036924"/>
    <w:rsid w:val="000372B3"/>
    <w:rsid w:val="000373E9"/>
    <w:rsid w:val="00040F6E"/>
    <w:rsid w:val="00042506"/>
    <w:rsid w:val="000442BD"/>
    <w:rsid w:val="00045BEA"/>
    <w:rsid w:val="000463A6"/>
    <w:rsid w:val="00046F1D"/>
    <w:rsid w:val="00051E2E"/>
    <w:rsid w:val="00051E44"/>
    <w:rsid w:val="000529AD"/>
    <w:rsid w:val="00053022"/>
    <w:rsid w:val="00053503"/>
    <w:rsid w:val="00055A3A"/>
    <w:rsid w:val="00055F78"/>
    <w:rsid w:val="00057100"/>
    <w:rsid w:val="000606EF"/>
    <w:rsid w:val="00061406"/>
    <w:rsid w:val="00062C65"/>
    <w:rsid w:val="000660F0"/>
    <w:rsid w:val="00066B1C"/>
    <w:rsid w:val="000670D4"/>
    <w:rsid w:val="000675CB"/>
    <w:rsid w:val="0007087F"/>
    <w:rsid w:val="0007139B"/>
    <w:rsid w:val="000713C8"/>
    <w:rsid w:val="0007258F"/>
    <w:rsid w:val="00074179"/>
    <w:rsid w:val="000800BF"/>
    <w:rsid w:val="0008012C"/>
    <w:rsid w:val="00083783"/>
    <w:rsid w:val="00083A73"/>
    <w:rsid w:val="000846EC"/>
    <w:rsid w:val="00091400"/>
    <w:rsid w:val="00095901"/>
    <w:rsid w:val="00097204"/>
    <w:rsid w:val="000A10F4"/>
    <w:rsid w:val="000A3D1B"/>
    <w:rsid w:val="000A4750"/>
    <w:rsid w:val="000A4CA7"/>
    <w:rsid w:val="000A5EF4"/>
    <w:rsid w:val="000A7ECF"/>
    <w:rsid w:val="000B3DE0"/>
    <w:rsid w:val="000B46D6"/>
    <w:rsid w:val="000B4A3E"/>
    <w:rsid w:val="000B639A"/>
    <w:rsid w:val="000C0081"/>
    <w:rsid w:val="000C03A9"/>
    <w:rsid w:val="000C23AA"/>
    <w:rsid w:val="000C27B1"/>
    <w:rsid w:val="000C2E3F"/>
    <w:rsid w:val="000C4264"/>
    <w:rsid w:val="000C50A0"/>
    <w:rsid w:val="000C5DAA"/>
    <w:rsid w:val="000D0111"/>
    <w:rsid w:val="000D0821"/>
    <w:rsid w:val="000D1BBC"/>
    <w:rsid w:val="000D1D30"/>
    <w:rsid w:val="000D4433"/>
    <w:rsid w:val="000D5697"/>
    <w:rsid w:val="000D7D78"/>
    <w:rsid w:val="000E223F"/>
    <w:rsid w:val="000E2E8E"/>
    <w:rsid w:val="000E3350"/>
    <w:rsid w:val="000E5EB2"/>
    <w:rsid w:val="000E5FB2"/>
    <w:rsid w:val="000E658F"/>
    <w:rsid w:val="000F1A98"/>
    <w:rsid w:val="000F22D0"/>
    <w:rsid w:val="000F5830"/>
    <w:rsid w:val="000F64BE"/>
    <w:rsid w:val="000F73F3"/>
    <w:rsid w:val="00103E77"/>
    <w:rsid w:val="00112278"/>
    <w:rsid w:val="001125AA"/>
    <w:rsid w:val="00112683"/>
    <w:rsid w:val="00113D04"/>
    <w:rsid w:val="00113E8C"/>
    <w:rsid w:val="0011414F"/>
    <w:rsid w:val="0011494F"/>
    <w:rsid w:val="00114E40"/>
    <w:rsid w:val="00116FEA"/>
    <w:rsid w:val="00117E42"/>
    <w:rsid w:val="00121672"/>
    <w:rsid w:val="00121C6C"/>
    <w:rsid w:val="00121C95"/>
    <w:rsid w:val="00123659"/>
    <w:rsid w:val="001321D2"/>
    <w:rsid w:val="00133075"/>
    <w:rsid w:val="001346CE"/>
    <w:rsid w:val="00134962"/>
    <w:rsid w:val="00134C15"/>
    <w:rsid w:val="001377C7"/>
    <w:rsid w:val="00137F01"/>
    <w:rsid w:val="00142D5A"/>
    <w:rsid w:val="00144904"/>
    <w:rsid w:val="001450AF"/>
    <w:rsid w:val="00145F83"/>
    <w:rsid w:val="00146050"/>
    <w:rsid w:val="00146AE9"/>
    <w:rsid w:val="00147214"/>
    <w:rsid w:val="00147D80"/>
    <w:rsid w:val="001517F0"/>
    <w:rsid w:val="001521C1"/>
    <w:rsid w:val="00152A3A"/>
    <w:rsid w:val="00152BA0"/>
    <w:rsid w:val="0015319B"/>
    <w:rsid w:val="001540AB"/>
    <w:rsid w:val="00155E5F"/>
    <w:rsid w:val="00155ECC"/>
    <w:rsid w:val="0015690B"/>
    <w:rsid w:val="00157D9F"/>
    <w:rsid w:val="00161133"/>
    <w:rsid w:val="001615DF"/>
    <w:rsid w:val="00161894"/>
    <w:rsid w:val="00161A13"/>
    <w:rsid w:val="00162C45"/>
    <w:rsid w:val="00170C02"/>
    <w:rsid w:val="001715A6"/>
    <w:rsid w:val="00171F6B"/>
    <w:rsid w:val="0017317B"/>
    <w:rsid w:val="00174104"/>
    <w:rsid w:val="001747E2"/>
    <w:rsid w:val="00174AFF"/>
    <w:rsid w:val="00176EB4"/>
    <w:rsid w:val="00176EB9"/>
    <w:rsid w:val="00183436"/>
    <w:rsid w:val="00183E76"/>
    <w:rsid w:val="001901D7"/>
    <w:rsid w:val="00190C3A"/>
    <w:rsid w:val="00190EAE"/>
    <w:rsid w:val="0019267E"/>
    <w:rsid w:val="001935B1"/>
    <w:rsid w:val="001935EA"/>
    <w:rsid w:val="00193BCF"/>
    <w:rsid w:val="00194D47"/>
    <w:rsid w:val="00196306"/>
    <w:rsid w:val="001969FA"/>
    <w:rsid w:val="00196BDB"/>
    <w:rsid w:val="001A169E"/>
    <w:rsid w:val="001A3A04"/>
    <w:rsid w:val="001A4419"/>
    <w:rsid w:val="001A516F"/>
    <w:rsid w:val="001A64B9"/>
    <w:rsid w:val="001A76CF"/>
    <w:rsid w:val="001A7CE3"/>
    <w:rsid w:val="001B0323"/>
    <w:rsid w:val="001B202F"/>
    <w:rsid w:val="001B2AE2"/>
    <w:rsid w:val="001B3612"/>
    <w:rsid w:val="001B4452"/>
    <w:rsid w:val="001B5C15"/>
    <w:rsid w:val="001B6AF7"/>
    <w:rsid w:val="001B796F"/>
    <w:rsid w:val="001C078B"/>
    <w:rsid w:val="001C1623"/>
    <w:rsid w:val="001C2F35"/>
    <w:rsid w:val="001C4129"/>
    <w:rsid w:val="001C41D8"/>
    <w:rsid w:val="001C42F4"/>
    <w:rsid w:val="001C4E9C"/>
    <w:rsid w:val="001C55FC"/>
    <w:rsid w:val="001C5A63"/>
    <w:rsid w:val="001C5CD1"/>
    <w:rsid w:val="001C5EB6"/>
    <w:rsid w:val="001C6304"/>
    <w:rsid w:val="001C7590"/>
    <w:rsid w:val="001D00E8"/>
    <w:rsid w:val="001D09EC"/>
    <w:rsid w:val="001D0A77"/>
    <w:rsid w:val="001D15DA"/>
    <w:rsid w:val="001D2985"/>
    <w:rsid w:val="001D479E"/>
    <w:rsid w:val="001D48DC"/>
    <w:rsid w:val="001D5268"/>
    <w:rsid w:val="001D5770"/>
    <w:rsid w:val="001D5B26"/>
    <w:rsid w:val="001D6BF6"/>
    <w:rsid w:val="001E109F"/>
    <w:rsid w:val="001E1103"/>
    <w:rsid w:val="001E3581"/>
    <w:rsid w:val="001E782C"/>
    <w:rsid w:val="001E7A39"/>
    <w:rsid w:val="001F1070"/>
    <w:rsid w:val="001F36A0"/>
    <w:rsid w:val="001F3A89"/>
    <w:rsid w:val="001F4E00"/>
    <w:rsid w:val="0020131E"/>
    <w:rsid w:val="00203ACA"/>
    <w:rsid w:val="00203EC9"/>
    <w:rsid w:val="0020638D"/>
    <w:rsid w:val="00210E6D"/>
    <w:rsid w:val="002113CF"/>
    <w:rsid w:val="00212F6D"/>
    <w:rsid w:val="00214378"/>
    <w:rsid w:val="00214713"/>
    <w:rsid w:val="00215241"/>
    <w:rsid w:val="00215854"/>
    <w:rsid w:val="0021619F"/>
    <w:rsid w:val="0021661B"/>
    <w:rsid w:val="002212D1"/>
    <w:rsid w:val="002217AB"/>
    <w:rsid w:val="0022255C"/>
    <w:rsid w:val="0022489D"/>
    <w:rsid w:val="002262F3"/>
    <w:rsid w:val="00226C8B"/>
    <w:rsid w:val="00227047"/>
    <w:rsid w:val="0022778A"/>
    <w:rsid w:val="00227BA0"/>
    <w:rsid w:val="00230559"/>
    <w:rsid w:val="0023169A"/>
    <w:rsid w:val="002316E5"/>
    <w:rsid w:val="002332F8"/>
    <w:rsid w:val="00234F75"/>
    <w:rsid w:val="00236A96"/>
    <w:rsid w:val="00236C87"/>
    <w:rsid w:val="00240F4B"/>
    <w:rsid w:val="0024156D"/>
    <w:rsid w:val="00241CD9"/>
    <w:rsid w:val="002430FA"/>
    <w:rsid w:val="002448AA"/>
    <w:rsid w:val="00244D9A"/>
    <w:rsid w:val="00245879"/>
    <w:rsid w:val="00246F7C"/>
    <w:rsid w:val="00251077"/>
    <w:rsid w:val="00254966"/>
    <w:rsid w:val="002554A6"/>
    <w:rsid w:val="00256646"/>
    <w:rsid w:val="002566F4"/>
    <w:rsid w:val="002575C5"/>
    <w:rsid w:val="0026053D"/>
    <w:rsid w:val="00261A15"/>
    <w:rsid w:val="002634E2"/>
    <w:rsid w:val="00263C23"/>
    <w:rsid w:val="002674ED"/>
    <w:rsid w:val="00267719"/>
    <w:rsid w:val="0027230F"/>
    <w:rsid w:val="0027248B"/>
    <w:rsid w:val="0027252F"/>
    <w:rsid w:val="00272742"/>
    <w:rsid w:val="00273718"/>
    <w:rsid w:val="00273C40"/>
    <w:rsid w:val="00276DBB"/>
    <w:rsid w:val="002816DE"/>
    <w:rsid w:val="00282343"/>
    <w:rsid w:val="00282C80"/>
    <w:rsid w:val="00283030"/>
    <w:rsid w:val="002839B5"/>
    <w:rsid w:val="00283D93"/>
    <w:rsid w:val="00283EAC"/>
    <w:rsid w:val="00284B4A"/>
    <w:rsid w:val="00287788"/>
    <w:rsid w:val="00290DAF"/>
    <w:rsid w:val="00292DED"/>
    <w:rsid w:val="00293121"/>
    <w:rsid w:val="00296143"/>
    <w:rsid w:val="002A120F"/>
    <w:rsid w:val="002A159F"/>
    <w:rsid w:val="002A28F7"/>
    <w:rsid w:val="002A2A06"/>
    <w:rsid w:val="002A2E63"/>
    <w:rsid w:val="002A3153"/>
    <w:rsid w:val="002A31F3"/>
    <w:rsid w:val="002A58F4"/>
    <w:rsid w:val="002A6EAA"/>
    <w:rsid w:val="002A6FE4"/>
    <w:rsid w:val="002A7C03"/>
    <w:rsid w:val="002B1C51"/>
    <w:rsid w:val="002B2775"/>
    <w:rsid w:val="002B5FE9"/>
    <w:rsid w:val="002C1669"/>
    <w:rsid w:val="002C24C5"/>
    <w:rsid w:val="002C3AA4"/>
    <w:rsid w:val="002C4D3B"/>
    <w:rsid w:val="002C7F6C"/>
    <w:rsid w:val="002D0938"/>
    <w:rsid w:val="002D2EAE"/>
    <w:rsid w:val="002D37F4"/>
    <w:rsid w:val="002D38BF"/>
    <w:rsid w:val="002D428C"/>
    <w:rsid w:val="002D44EA"/>
    <w:rsid w:val="002D4B69"/>
    <w:rsid w:val="002D6D2B"/>
    <w:rsid w:val="002D72A0"/>
    <w:rsid w:val="002E11DA"/>
    <w:rsid w:val="002E1DA0"/>
    <w:rsid w:val="002E463F"/>
    <w:rsid w:val="002E4E9A"/>
    <w:rsid w:val="002E508B"/>
    <w:rsid w:val="002E5F07"/>
    <w:rsid w:val="002E5F9F"/>
    <w:rsid w:val="002E7284"/>
    <w:rsid w:val="002E7368"/>
    <w:rsid w:val="002E7849"/>
    <w:rsid w:val="002F05B0"/>
    <w:rsid w:val="002F15EE"/>
    <w:rsid w:val="002F1BC2"/>
    <w:rsid w:val="002F2F6A"/>
    <w:rsid w:val="002F3059"/>
    <w:rsid w:val="002F4009"/>
    <w:rsid w:val="002F4060"/>
    <w:rsid w:val="002F502A"/>
    <w:rsid w:val="002F52F0"/>
    <w:rsid w:val="002F6A4F"/>
    <w:rsid w:val="002F7128"/>
    <w:rsid w:val="00300F99"/>
    <w:rsid w:val="00301CF5"/>
    <w:rsid w:val="0030324F"/>
    <w:rsid w:val="003044AE"/>
    <w:rsid w:val="00304B7A"/>
    <w:rsid w:val="0030589C"/>
    <w:rsid w:val="0030671C"/>
    <w:rsid w:val="00307423"/>
    <w:rsid w:val="0031156F"/>
    <w:rsid w:val="00313347"/>
    <w:rsid w:val="003154AC"/>
    <w:rsid w:val="003157D4"/>
    <w:rsid w:val="00316DD9"/>
    <w:rsid w:val="00320C51"/>
    <w:rsid w:val="00323776"/>
    <w:rsid w:val="00325D84"/>
    <w:rsid w:val="00326DF6"/>
    <w:rsid w:val="003307DE"/>
    <w:rsid w:val="00331CFE"/>
    <w:rsid w:val="00334241"/>
    <w:rsid w:val="003347DA"/>
    <w:rsid w:val="00334CCA"/>
    <w:rsid w:val="003353A4"/>
    <w:rsid w:val="00335C9C"/>
    <w:rsid w:val="00336C9F"/>
    <w:rsid w:val="003370EB"/>
    <w:rsid w:val="003373B8"/>
    <w:rsid w:val="00337764"/>
    <w:rsid w:val="00337D63"/>
    <w:rsid w:val="00340913"/>
    <w:rsid w:val="0034222D"/>
    <w:rsid w:val="00342468"/>
    <w:rsid w:val="0034507B"/>
    <w:rsid w:val="0034567E"/>
    <w:rsid w:val="00345D73"/>
    <w:rsid w:val="003527F4"/>
    <w:rsid w:val="00353691"/>
    <w:rsid w:val="003568BA"/>
    <w:rsid w:val="00360613"/>
    <w:rsid w:val="00361752"/>
    <w:rsid w:val="00361FE6"/>
    <w:rsid w:val="00362DDA"/>
    <w:rsid w:val="003635FB"/>
    <w:rsid w:val="00363CFC"/>
    <w:rsid w:val="00366737"/>
    <w:rsid w:val="00371EB6"/>
    <w:rsid w:val="00374981"/>
    <w:rsid w:val="00374A38"/>
    <w:rsid w:val="003810D8"/>
    <w:rsid w:val="0038252B"/>
    <w:rsid w:val="003853A4"/>
    <w:rsid w:val="003876ED"/>
    <w:rsid w:val="0039035F"/>
    <w:rsid w:val="00391296"/>
    <w:rsid w:val="00391FC9"/>
    <w:rsid w:val="0039380D"/>
    <w:rsid w:val="003952C8"/>
    <w:rsid w:val="00396B46"/>
    <w:rsid w:val="00397F92"/>
    <w:rsid w:val="003A01C4"/>
    <w:rsid w:val="003A1032"/>
    <w:rsid w:val="003A13EB"/>
    <w:rsid w:val="003A1CC2"/>
    <w:rsid w:val="003A1EA2"/>
    <w:rsid w:val="003A2003"/>
    <w:rsid w:val="003A43D0"/>
    <w:rsid w:val="003B3290"/>
    <w:rsid w:val="003B58B5"/>
    <w:rsid w:val="003B6121"/>
    <w:rsid w:val="003C46BC"/>
    <w:rsid w:val="003C59DB"/>
    <w:rsid w:val="003C60B5"/>
    <w:rsid w:val="003C7201"/>
    <w:rsid w:val="003D04B9"/>
    <w:rsid w:val="003D12FC"/>
    <w:rsid w:val="003D1EFE"/>
    <w:rsid w:val="003D764C"/>
    <w:rsid w:val="003E0167"/>
    <w:rsid w:val="003E129B"/>
    <w:rsid w:val="003E1329"/>
    <w:rsid w:val="003E4B03"/>
    <w:rsid w:val="003E67AB"/>
    <w:rsid w:val="003E6B9E"/>
    <w:rsid w:val="003F0784"/>
    <w:rsid w:val="003F2E19"/>
    <w:rsid w:val="003F3777"/>
    <w:rsid w:val="003F3B75"/>
    <w:rsid w:val="003F3D49"/>
    <w:rsid w:val="003F3F5E"/>
    <w:rsid w:val="003F472C"/>
    <w:rsid w:val="003F63E0"/>
    <w:rsid w:val="003F751E"/>
    <w:rsid w:val="003F787B"/>
    <w:rsid w:val="00402A02"/>
    <w:rsid w:val="00403887"/>
    <w:rsid w:val="00406D25"/>
    <w:rsid w:val="00407032"/>
    <w:rsid w:val="0041079B"/>
    <w:rsid w:val="00412E9D"/>
    <w:rsid w:val="004145E8"/>
    <w:rsid w:val="00416220"/>
    <w:rsid w:val="00416669"/>
    <w:rsid w:val="00417758"/>
    <w:rsid w:val="00417FE6"/>
    <w:rsid w:val="00420979"/>
    <w:rsid w:val="00421F3D"/>
    <w:rsid w:val="004229B8"/>
    <w:rsid w:val="004242C5"/>
    <w:rsid w:val="00424C46"/>
    <w:rsid w:val="00425ACB"/>
    <w:rsid w:val="0042610B"/>
    <w:rsid w:val="00430B92"/>
    <w:rsid w:val="0043261E"/>
    <w:rsid w:val="00432D92"/>
    <w:rsid w:val="004339FB"/>
    <w:rsid w:val="00435DA6"/>
    <w:rsid w:val="00437A61"/>
    <w:rsid w:val="00441481"/>
    <w:rsid w:val="00444378"/>
    <w:rsid w:val="00445E79"/>
    <w:rsid w:val="00446D8F"/>
    <w:rsid w:val="00447ECB"/>
    <w:rsid w:val="004501EB"/>
    <w:rsid w:val="004509BE"/>
    <w:rsid w:val="00450B3B"/>
    <w:rsid w:val="004517AC"/>
    <w:rsid w:val="00452B4F"/>
    <w:rsid w:val="00453DC5"/>
    <w:rsid w:val="00453EEA"/>
    <w:rsid w:val="00455ADC"/>
    <w:rsid w:val="004572EE"/>
    <w:rsid w:val="00462232"/>
    <w:rsid w:val="0046671D"/>
    <w:rsid w:val="00467BC5"/>
    <w:rsid w:val="00470223"/>
    <w:rsid w:val="004710E1"/>
    <w:rsid w:val="0047117A"/>
    <w:rsid w:val="00471FEE"/>
    <w:rsid w:val="004726CF"/>
    <w:rsid w:val="00472A2B"/>
    <w:rsid w:val="00475714"/>
    <w:rsid w:val="00477E25"/>
    <w:rsid w:val="00481ACB"/>
    <w:rsid w:val="0048204C"/>
    <w:rsid w:val="00482054"/>
    <w:rsid w:val="00482EE0"/>
    <w:rsid w:val="00484CA1"/>
    <w:rsid w:val="004866AD"/>
    <w:rsid w:val="0048693D"/>
    <w:rsid w:val="00487CE2"/>
    <w:rsid w:val="0049520F"/>
    <w:rsid w:val="004954E3"/>
    <w:rsid w:val="00495B96"/>
    <w:rsid w:val="00495DEB"/>
    <w:rsid w:val="004A25DF"/>
    <w:rsid w:val="004A2A63"/>
    <w:rsid w:val="004A3F43"/>
    <w:rsid w:val="004A5360"/>
    <w:rsid w:val="004B0E87"/>
    <w:rsid w:val="004B19E5"/>
    <w:rsid w:val="004B4394"/>
    <w:rsid w:val="004B5C62"/>
    <w:rsid w:val="004B6B92"/>
    <w:rsid w:val="004C0700"/>
    <w:rsid w:val="004C0F08"/>
    <w:rsid w:val="004C3C5C"/>
    <w:rsid w:val="004C6B3A"/>
    <w:rsid w:val="004C6C0C"/>
    <w:rsid w:val="004D0B5A"/>
    <w:rsid w:val="004D13A3"/>
    <w:rsid w:val="004D1BF2"/>
    <w:rsid w:val="004D414D"/>
    <w:rsid w:val="004D6E1C"/>
    <w:rsid w:val="004D7AC5"/>
    <w:rsid w:val="004E6CD9"/>
    <w:rsid w:val="004E72A2"/>
    <w:rsid w:val="004F20E3"/>
    <w:rsid w:val="004F211A"/>
    <w:rsid w:val="004F292D"/>
    <w:rsid w:val="004F3159"/>
    <w:rsid w:val="004F4AEF"/>
    <w:rsid w:val="004F5260"/>
    <w:rsid w:val="004F70A9"/>
    <w:rsid w:val="0050247B"/>
    <w:rsid w:val="00510164"/>
    <w:rsid w:val="00512E4A"/>
    <w:rsid w:val="0051440A"/>
    <w:rsid w:val="0051538D"/>
    <w:rsid w:val="005165B9"/>
    <w:rsid w:val="0051778B"/>
    <w:rsid w:val="00520B74"/>
    <w:rsid w:val="00523B64"/>
    <w:rsid w:val="00524F25"/>
    <w:rsid w:val="0052566B"/>
    <w:rsid w:val="00527E06"/>
    <w:rsid w:val="0053097E"/>
    <w:rsid w:val="00531B6B"/>
    <w:rsid w:val="005320C9"/>
    <w:rsid w:val="005329D8"/>
    <w:rsid w:val="00533FA4"/>
    <w:rsid w:val="0053428D"/>
    <w:rsid w:val="00534522"/>
    <w:rsid w:val="00535446"/>
    <w:rsid w:val="005354B4"/>
    <w:rsid w:val="00536305"/>
    <w:rsid w:val="00536ABA"/>
    <w:rsid w:val="00536E0B"/>
    <w:rsid w:val="00537306"/>
    <w:rsid w:val="00540F03"/>
    <w:rsid w:val="00543708"/>
    <w:rsid w:val="00543CD5"/>
    <w:rsid w:val="00543D9E"/>
    <w:rsid w:val="005474CC"/>
    <w:rsid w:val="00547CC3"/>
    <w:rsid w:val="00547D18"/>
    <w:rsid w:val="00550E2B"/>
    <w:rsid w:val="00551703"/>
    <w:rsid w:val="00551C24"/>
    <w:rsid w:val="0055274B"/>
    <w:rsid w:val="005535E5"/>
    <w:rsid w:val="00553E4E"/>
    <w:rsid w:val="005546B3"/>
    <w:rsid w:val="005547BE"/>
    <w:rsid w:val="005552BF"/>
    <w:rsid w:val="005566F2"/>
    <w:rsid w:val="00560451"/>
    <w:rsid w:val="00560BDF"/>
    <w:rsid w:val="00562261"/>
    <w:rsid w:val="00562290"/>
    <w:rsid w:val="0056283E"/>
    <w:rsid w:val="0056478D"/>
    <w:rsid w:val="005657D9"/>
    <w:rsid w:val="00565FCD"/>
    <w:rsid w:val="00566566"/>
    <w:rsid w:val="00566C31"/>
    <w:rsid w:val="005673E8"/>
    <w:rsid w:val="00570F5B"/>
    <w:rsid w:val="00572082"/>
    <w:rsid w:val="0057250B"/>
    <w:rsid w:val="00574294"/>
    <w:rsid w:val="005749C5"/>
    <w:rsid w:val="0057670A"/>
    <w:rsid w:val="00576B9B"/>
    <w:rsid w:val="00577A82"/>
    <w:rsid w:val="00580855"/>
    <w:rsid w:val="00581D79"/>
    <w:rsid w:val="00582198"/>
    <w:rsid w:val="00585490"/>
    <w:rsid w:val="00586127"/>
    <w:rsid w:val="00586576"/>
    <w:rsid w:val="00587AB3"/>
    <w:rsid w:val="005905B1"/>
    <w:rsid w:val="005914F1"/>
    <w:rsid w:val="005933D7"/>
    <w:rsid w:val="0059494A"/>
    <w:rsid w:val="005A07FF"/>
    <w:rsid w:val="005A13C0"/>
    <w:rsid w:val="005A3338"/>
    <w:rsid w:val="005A4AE2"/>
    <w:rsid w:val="005A65F5"/>
    <w:rsid w:val="005A67AA"/>
    <w:rsid w:val="005A6DE5"/>
    <w:rsid w:val="005A7D82"/>
    <w:rsid w:val="005B1336"/>
    <w:rsid w:val="005B1536"/>
    <w:rsid w:val="005B263A"/>
    <w:rsid w:val="005B2FD4"/>
    <w:rsid w:val="005B325E"/>
    <w:rsid w:val="005B4202"/>
    <w:rsid w:val="005B4330"/>
    <w:rsid w:val="005B4CEB"/>
    <w:rsid w:val="005B5B0E"/>
    <w:rsid w:val="005B743D"/>
    <w:rsid w:val="005C0B41"/>
    <w:rsid w:val="005C0C03"/>
    <w:rsid w:val="005C11DB"/>
    <w:rsid w:val="005C1447"/>
    <w:rsid w:val="005C1770"/>
    <w:rsid w:val="005C1B11"/>
    <w:rsid w:val="005C2466"/>
    <w:rsid w:val="005C2B26"/>
    <w:rsid w:val="005C3022"/>
    <w:rsid w:val="005C4103"/>
    <w:rsid w:val="005C49B3"/>
    <w:rsid w:val="005C5442"/>
    <w:rsid w:val="005C56C5"/>
    <w:rsid w:val="005C6416"/>
    <w:rsid w:val="005C657D"/>
    <w:rsid w:val="005D0389"/>
    <w:rsid w:val="005D04B9"/>
    <w:rsid w:val="005D05CE"/>
    <w:rsid w:val="005D09BF"/>
    <w:rsid w:val="005D1C62"/>
    <w:rsid w:val="005D252F"/>
    <w:rsid w:val="005D30C4"/>
    <w:rsid w:val="005D33B7"/>
    <w:rsid w:val="005D380A"/>
    <w:rsid w:val="005D5033"/>
    <w:rsid w:val="005D5F3A"/>
    <w:rsid w:val="005D7532"/>
    <w:rsid w:val="005E3379"/>
    <w:rsid w:val="005E487D"/>
    <w:rsid w:val="005E7D23"/>
    <w:rsid w:val="005F0F4E"/>
    <w:rsid w:val="005F0F84"/>
    <w:rsid w:val="005F107C"/>
    <w:rsid w:val="006010F3"/>
    <w:rsid w:val="00602008"/>
    <w:rsid w:val="00602535"/>
    <w:rsid w:val="00602698"/>
    <w:rsid w:val="006039DE"/>
    <w:rsid w:val="00603D53"/>
    <w:rsid w:val="006046C2"/>
    <w:rsid w:val="00604950"/>
    <w:rsid w:val="006057BA"/>
    <w:rsid w:val="0060702F"/>
    <w:rsid w:val="006108B3"/>
    <w:rsid w:val="00611037"/>
    <w:rsid w:val="00611F91"/>
    <w:rsid w:val="00612D0A"/>
    <w:rsid w:val="00613719"/>
    <w:rsid w:val="00615365"/>
    <w:rsid w:val="006155C4"/>
    <w:rsid w:val="006163CE"/>
    <w:rsid w:val="00620442"/>
    <w:rsid w:val="0062171B"/>
    <w:rsid w:val="00621755"/>
    <w:rsid w:val="00621AC7"/>
    <w:rsid w:val="00622885"/>
    <w:rsid w:val="00623663"/>
    <w:rsid w:val="006237FB"/>
    <w:rsid w:val="006248B1"/>
    <w:rsid w:val="00626DD2"/>
    <w:rsid w:val="006271E5"/>
    <w:rsid w:val="00631C7C"/>
    <w:rsid w:val="00633D7F"/>
    <w:rsid w:val="00633E4E"/>
    <w:rsid w:val="00635D57"/>
    <w:rsid w:val="00636930"/>
    <w:rsid w:val="006410CE"/>
    <w:rsid w:val="006418B2"/>
    <w:rsid w:val="00642404"/>
    <w:rsid w:val="006429B3"/>
    <w:rsid w:val="00644791"/>
    <w:rsid w:val="00647EFA"/>
    <w:rsid w:val="00650098"/>
    <w:rsid w:val="00650883"/>
    <w:rsid w:val="00652973"/>
    <w:rsid w:val="00652C48"/>
    <w:rsid w:val="006538BA"/>
    <w:rsid w:val="0065450C"/>
    <w:rsid w:val="00654CEA"/>
    <w:rsid w:val="006553B2"/>
    <w:rsid w:val="00655558"/>
    <w:rsid w:val="006558CA"/>
    <w:rsid w:val="0065662D"/>
    <w:rsid w:val="00656997"/>
    <w:rsid w:val="00657710"/>
    <w:rsid w:val="00657E79"/>
    <w:rsid w:val="00657E7C"/>
    <w:rsid w:val="006606F5"/>
    <w:rsid w:val="00660DD4"/>
    <w:rsid w:val="00666189"/>
    <w:rsid w:val="0067185E"/>
    <w:rsid w:val="00671B64"/>
    <w:rsid w:val="00671D5B"/>
    <w:rsid w:val="00671DD1"/>
    <w:rsid w:val="006720C9"/>
    <w:rsid w:val="00674D99"/>
    <w:rsid w:val="006775FA"/>
    <w:rsid w:val="00680CFE"/>
    <w:rsid w:val="006814D7"/>
    <w:rsid w:val="00681DEF"/>
    <w:rsid w:val="0068245B"/>
    <w:rsid w:val="0068264A"/>
    <w:rsid w:val="006833C8"/>
    <w:rsid w:val="0068349B"/>
    <w:rsid w:val="006839EE"/>
    <w:rsid w:val="0068544D"/>
    <w:rsid w:val="00685B29"/>
    <w:rsid w:val="00685D8F"/>
    <w:rsid w:val="006864CE"/>
    <w:rsid w:val="00686720"/>
    <w:rsid w:val="00690873"/>
    <w:rsid w:val="00690BAA"/>
    <w:rsid w:val="00690C99"/>
    <w:rsid w:val="0069409E"/>
    <w:rsid w:val="006951CB"/>
    <w:rsid w:val="00695D08"/>
    <w:rsid w:val="006968AA"/>
    <w:rsid w:val="00697977"/>
    <w:rsid w:val="00697C60"/>
    <w:rsid w:val="006A0422"/>
    <w:rsid w:val="006A1422"/>
    <w:rsid w:val="006A192A"/>
    <w:rsid w:val="006A27AA"/>
    <w:rsid w:val="006A2CE2"/>
    <w:rsid w:val="006A3602"/>
    <w:rsid w:val="006A5DA1"/>
    <w:rsid w:val="006A6494"/>
    <w:rsid w:val="006A6CCD"/>
    <w:rsid w:val="006A711A"/>
    <w:rsid w:val="006B1F9F"/>
    <w:rsid w:val="006B3DB0"/>
    <w:rsid w:val="006B71C7"/>
    <w:rsid w:val="006B785B"/>
    <w:rsid w:val="006C056A"/>
    <w:rsid w:val="006C2772"/>
    <w:rsid w:val="006C382D"/>
    <w:rsid w:val="006C3C7C"/>
    <w:rsid w:val="006C538D"/>
    <w:rsid w:val="006C64A6"/>
    <w:rsid w:val="006D006B"/>
    <w:rsid w:val="006D1162"/>
    <w:rsid w:val="006D27C4"/>
    <w:rsid w:val="006D4084"/>
    <w:rsid w:val="006D4099"/>
    <w:rsid w:val="006D67EB"/>
    <w:rsid w:val="006E22B1"/>
    <w:rsid w:val="006E75D9"/>
    <w:rsid w:val="006E7F39"/>
    <w:rsid w:val="006F13BE"/>
    <w:rsid w:val="006F1F96"/>
    <w:rsid w:val="006F2474"/>
    <w:rsid w:val="006F43C3"/>
    <w:rsid w:val="006F4587"/>
    <w:rsid w:val="006F470A"/>
    <w:rsid w:val="006F6DC9"/>
    <w:rsid w:val="00700337"/>
    <w:rsid w:val="00700352"/>
    <w:rsid w:val="00700B01"/>
    <w:rsid w:val="007019AB"/>
    <w:rsid w:val="00702EBF"/>
    <w:rsid w:val="007067CA"/>
    <w:rsid w:val="007075C9"/>
    <w:rsid w:val="007103C9"/>
    <w:rsid w:val="00711ABA"/>
    <w:rsid w:val="00711D87"/>
    <w:rsid w:val="00712E65"/>
    <w:rsid w:val="00713414"/>
    <w:rsid w:val="00717E67"/>
    <w:rsid w:val="00720D98"/>
    <w:rsid w:val="00720DC6"/>
    <w:rsid w:val="00721A70"/>
    <w:rsid w:val="00721C2F"/>
    <w:rsid w:val="00721EE7"/>
    <w:rsid w:val="007235D7"/>
    <w:rsid w:val="00723FE5"/>
    <w:rsid w:val="00725ED0"/>
    <w:rsid w:val="00727659"/>
    <w:rsid w:val="00730350"/>
    <w:rsid w:val="00730EF3"/>
    <w:rsid w:val="00731636"/>
    <w:rsid w:val="00731D7A"/>
    <w:rsid w:val="00733025"/>
    <w:rsid w:val="00734554"/>
    <w:rsid w:val="00734796"/>
    <w:rsid w:val="0073516C"/>
    <w:rsid w:val="007360DD"/>
    <w:rsid w:val="00737CEC"/>
    <w:rsid w:val="007403F5"/>
    <w:rsid w:val="00741505"/>
    <w:rsid w:val="007426B3"/>
    <w:rsid w:val="00743353"/>
    <w:rsid w:val="00743603"/>
    <w:rsid w:val="007458EF"/>
    <w:rsid w:val="00745C9F"/>
    <w:rsid w:val="00747302"/>
    <w:rsid w:val="00747C67"/>
    <w:rsid w:val="00747C92"/>
    <w:rsid w:val="00747CD7"/>
    <w:rsid w:val="0075096B"/>
    <w:rsid w:val="00751648"/>
    <w:rsid w:val="007532B3"/>
    <w:rsid w:val="0075376F"/>
    <w:rsid w:val="00757BE6"/>
    <w:rsid w:val="00760615"/>
    <w:rsid w:val="0076124E"/>
    <w:rsid w:val="007614C8"/>
    <w:rsid w:val="0076231A"/>
    <w:rsid w:val="00762B96"/>
    <w:rsid w:val="00764BE1"/>
    <w:rsid w:val="00764D03"/>
    <w:rsid w:val="007651AD"/>
    <w:rsid w:val="00765E95"/>
    <w:rsid w:val="00766306"/>
    <w:rsid w:val="007678A7"/>
    <w:rsid w:val="0077404B"/>
    <w:rsid w:val="00774F55"/>
    <w:rsid w:val="0077505C"/>
    <w:rsid w:val="00775679"/>
    <w:rsid w:val="00775D8A"/>
    <w:rsid w:val="0077659E"/>
    <w:rsid w:val="00777AD4"/>
    <w:rsid w:val="00780950"/>
    <w:rsid w:val="007809EF"/>
    <w:rsid w:val="007818FF"/>
    <w:rsid w:val="0078343A"/>
    <w:rsid w:val="00783D2C"/>
    <w:rsid w:val="00784423"/>
    <w:rsid w:val="00786D71"/>
    <w:rsid w:val="00790BD2"/>
    <w:rsid w:val="0079204F"/>
    <w:rsid w:val="007932E4"/>
    <w:rsid w:val="00793DD4"/>
    <w:rsid w:val="00794F29"/>
    <w:rsid w:val="0079592D"/>
    <w:rsid w:val="00796DA1"/>
    <w:rsid w:val="007A0750"/>
    <w:rsid w:val="007A1BCB"/>
    <w:rsid w:val="007A2250"/>
    <w:rsid w:val="007A3E8E"/>
    <w:rsid w:val="007A558F"/>
    <w:rsid w:val="007A5759"/>
    <w:rsid w:val="007A579B"/>
    <w:rsid w:val="007A7DD1"/>
    <w:rsid w:val="007B11D8"/>
    <w:rsid w:val="007B1594"/>
    <w:rsid w:val="007B1712"/>
    <w:rsid w:val="007B2F44"/>
    <w:rsid w:val="007B33C5"/>
    <w:rsid w:val="007B3CFE"/>
    <w:rsid w:val="007B45F5"/>
    <w:rsid w:val="007B56CB"/>
    <w:rsid w:val="007B65EA"/>
    <w:rsid w:val="007C08C3"/>
    <w:rsid w:val="007C1268"/>
    <w:rsid w:val="007C1615"/>
    <w:rsid w:val="007C28AE"/>
    <w:rsid w:val="007C321D"/>
    <w:rsid w:val="007C41A5"/>
    <w:rsid w:val="007C58A3"/>
    <w:rsid w:val="007C58BE"/>
    <w:rsid w:val="007C7E49"/>
    <w:rsid w:val="007C7EEE"/>
    <w:rsid w:val="007D0537"/>
    <w:rsid w:val="007D080B"/>
    <w:rsid w:val="007D2027"/>
    <w:rsid w:val="007D22CA"/>
    <w:rsid w:val="007D29D3"/>
    <w:rsid w:val="007D5F5C"/>
    <w:rsid w:val="007D6CF4"/>
    <w:rsid w:val="007E06DD"/>
    <w:rsid w:val="007E24D3"/>
    <w:rsid w:val="007E2AE5"/>
    <w:rsid w:val="007E35BC"/>
    <w:rsid w:val="007E4A6F"/>
    <w:rsid w:val="007E6A78"/>
    <w:rsid w:val="007E6BD3"/>
    <w:rsid w:val="007E7613"/>
    <w:rsid w:val="007F1ACB"/>
    <w:rsid w:val="007F2107"/>
    <w:rsid w:val="007F670A"/>
    <w:rsid w:val="007F6A31"/>
    <w:rsid w:val="007F7235"/>
    <w:rsid w:val="008000A6"/>
    <w:rsid w:val="00800B85"/>
    <w:rsid w:val="00801C0B"/>
    <w:rsid w:val="008046A4"/>
    <w:rsid w:val="008046FF"/>
    <w:rsid w:val="00804B7A"/>
    <w:rsid w:val="00805E79"/>
    <w:rsid w:val="008064DE"/>
    <w:rsid w:val="00807D78"/>
    <w:rsid w:val="00810E4D"/>
    <w:rsid w:val="00811D0C"/>
    <w:rsid w:val="00813CC4"/>
    <w:rsid w:val="00814D1A"/>
    <w:rsid w:val="00816799"/>
    <w:rsid w:val="008168A2"/>
    <w:rsid w:val="00816E77"/>
    <w:rsid w:val="00817220"/>
    <w:rsid w:val="008176CF"/>
    <w:rsid w:val="00820832"/>
    <w:rsid w:val="00821CD3"/>
    <w:rsid w:val="00824745"/>
    <w:rsid w:val="00824E92"/>
    <w:rsid w:val="00827A9C"/>
    <w:rsid w:val="00827FF1"/>
    <w:rsid w:val="00831263"/>
    <w:rsid w:val="008317D0"/>
    <w:rsid w:val="00831DB7"/>
    <w:rsid w:val="00832EBF"/>
    <w:rsid w:val="00833B71"/>
    <w:rsid w:val="008366CB"/>
    <w:rsid w:val="00837265"/>
    <w:rsid w:val="00837F3A"/>
    <w:rsid w:val="0084063B"/>
    <w:rsid w:val="008410EC"/>
    <w:rsid w:val="00841645"/>
    <w:rsid w:val="008419B8"/>
    <w:rsid w:val="008422DA"/>
    <w:rsid w:val="00842303"/>
    <w:rsid w:val="0084244C"/>
    <w:rsid w:val="008515CE"/>
    <w:rsid w:val="008520CA"/>
    <w:rsid w:val="0085241F"/>
    <w:rsid w:val="0085320A"/>
    <w:rsid w:val="00854D8B"/>
    <w:rsid w:val="008601B5"/>
    <w:rsid w:val="00860229"/>
    <w:rsid w:val="00861341"/>
    <w:rsid w:val="008620F3"/>
    <w:rsid w:val="00863838"/>
    <w:rsid w:val="00863986"/>
    <w:rsid w:val="00864BC9"/>
    <w:rsid w:val="00864D57"/>
    <w:rsid w:val="00865FBF"/>
    <w:rsid w:val="00866257"/>
    <w:rsid w:val="00866D1A"/>
    <w:rsid w:val="00871456"/>
    <w:rsid w:val="0087216D"/>
    <w:rsid w:val="00874F24"/>
    <w:rsid w:val="00875A36"/>
    <w:rsid w:val="00876230"/>
    <w:rsid w:val="00877D5B"/>
    <w:rsid w:val="00877ECD"/>
    <w:rsid w:val="00882467"/>
    <w:rsid w:val="008859D1"/>
    <w:rsid w:val="00886655"/>
    <w:rsid w:val="00886B1E"/>
    <w:rsid w:val="00887ED5"/>
    <w:rsid w:val="0089094C"/>
    <w:rsid w:val="00892313"/>
    <w:rsid w:val="00893437"/>
    <w:rsid w:val="008934C3"/>
    <w:rsid w:val="00893E5B"/>
    <w:rsid w:val="00894904"/>
    <w:rsid w:val="00894B88"/>
    <w:rsid w:val="008A3157"/>
    <w:rsid w:val="008A3CEA"/>
    <w:rsid w:val="008A460D"/>
    <w:rsid w:val="008A4CD5"/>
    <w:rsid w:val="008A588F"/>
    <w:rsid w:val="008A644A"/>
    <w:rsid w:val="008A7A9B"/>
    <w:rsid w:val="008B05BD"/>
    <w:rsid w:val="008B0A91"/>
    <w:rsid w:val="008B0C03"/>
    <w:rsid w:val="008B0DD1"/>
    <w:rsid w:val="008B1297"/>
    <w:rsid w:val="008B14D3"/>
    <w:rsid w:val="008B250D"/>
    <w:rsid w:val="008B427B"/>
    <w:rsid w:val="008B46F1"/>
    <w:rsid w:val="008B5A37"/>
    <w:rsid w:val="008B6009"/>
    <w:rsid w:val="008B6470"/>
    <w:rsid w:val="008B7FEF"/>
    <w:rsid w:val="008C056E"/>
    <w:rsid w:val="008C3B3B"/>
    <w:rsid w:val="008C46DC"/>
    <w:rsid w:val="008D01E3"/>
    <w:rsid w:val="008D116A"/>
    <w:rsid w:val="008D15AA"/>
    <w:rsid w:val="008D1681"/>
    <w:rsid w:val="008D3899"/>
    <w:rsid w:val="008D4265"/>
    <w:rsid w:val="008D576F"/>
    <w:rsid w:val="008D6968"/>
    <w:rsid w:val="008E08F2"/>
    <w:rsid w:val="008E2D64"/>
    <w:rsid w:val="008E3B15"/>
    <w:rsid w:val="008E3F07"/>
    <w:rsid w:val="008E4B40"/>
    <w:rsid w:val="008E5010"/>
    <w:rsid w:val="008E5302"/>
    <w:rsid w:val="008E5F36"/>
    <w:rsid w:val="008E66F3"/>
    <w:rsid w:val="008E6D8B"/>
    <w:rsid w:val="008F2757"/>
    <w:rsid w:val="008F2E4F"/>
    <w:rsid w:val="008F3303"/>
    <w:rsid w:val="008F38C9"/>
    <w:rsid w:val="008F54E9"/>
    <w:rsid w:val="008F6CA2"/>
    <w:rsid w:val="008F6F8B"/>
    <w:rsid w:val="008F7436"/>
    <w:rsid w:val="008F7AEF"/>
    <w:rsid w:val="00902A82"/>
    <w:rsid w:val="00902C26"/>
    <w:rsid w:val="00904B93"/>
    <w:rsid w:val="0090521B"/>
    <w:rsid w:val="009055E4"/>
    <w:rsid w:val="009071A4"/>
    <w:rsid w:val="009108CC"/>
    <w:rsid w:val="009127F9"/>
    <w:rsid w:val="0091304E"/>
    <w:rsid w:val="00913616"/>
    <w:rsid w:val="00913840"/>
    <w:rsid w:val="0091475E"/>
    <w:rsid w:val="00917E9C"/>
    <w:rsid w:val="00921BB3"/>
    <w:rsid w:val="00922465"/>
    <w:rsid w:val="00923639"/>
    <w:rsid w:val="0092379D"/>
    <w:rsid w:val="009241E6"/>
    <w:rsid w:val="00924E3D"/>
    <w:rsid w:val="00925160"/>
    <w:rsid w:val="0092542E"/>
    <w:rsid w:val="00931C62"/>
    <w:rsid w:val="009328A3"/>
    <w:rsid w:val="00936DC6"/>
    <w:rsid w:val="00936FF5"/>
    <w:rsid w:val="00940F82"/>
    <w:rsid w:val="0094697A"/>
    <w:rsid w:val="00946D3B"/>
    <w:rsid w:val="00947AA1"/>
    <w:rsid w:val="009514B1"/>
    <w:rsid w:val="00951C56"/>
    <w:rsid w:val="009520B5"/>
    <w:rsid w:val="00955907"/>
    <w:rsid w:val="0095599F"/>
    <w:rsid w:val="00955FD6"/>
    <w:rsid w:val="00956725"/>
    <w:rsid w:val="00956CF7"/>
    <w:rsid w:val="00957592"/>
    <w:rsid w:val="009617BE"/>
    <w:rsid w:val="0096424B"/>
    <w:rsid w:val="00970034"/>
    <w:rsid w:val="00970998"/>
    <w:rsid w:val="00971621"/>
    <w:rsid w:val="009716FA"/>
    <w:rsid w:val="00972136"/>
    <w:rsid w:val="00976849"/>
    <w:rsid w:val="00980563"/>
    <w:rsid w:val="00981C11"/>
    <w:rsid w:val="0098294D"/>
    <w:rsid w:val="00983241"/>
    <w:rsid w:val="00984AA8"/>
    <w:rsid w:val="00985088"/>
    <w:rsid w:val="0098648B"/>
    <w:rsid w:val="00986D03"/>
    <w:rsid w:val="009918BA"/>
    <w:rsid w:val="009A0B22"/>
    <w:rsid w:val="009A244C"/>
    <w:rsid w:val="009A2749"/>
    <w:rsid w:val="009A2E80"/>
    <w:rsid w:val="009A3C47"/>
    <w:rsid w:val="009A5128"/>
    <w:rsid w:val="009A602D"/>
    <w:rsid w:val="009B0DAA"/>
    <w:rsid w:val="009B32FA"/>
    <w:rsid w:val="009B3FF7"/>
    <w:rsid w:val="009B40C4"/>
    <w:rsid w:val="009B610E"/>
    <w:rsid w:val="009B6FEF"/>
    <w:rsid w:val="009C1212"/>
    <w:rsid w:val="009C13DC"/>
    <w:rsid w:val="009C1FC0"/>
    <w:rsid w:val="009C2668"/>
    <w:rsid w:val="009C327B"/>
    <w:rsid w:val="009C701F"/>
    <w:rsid w:val="009C73CF"/>
    <w:rsid w:val="009C7FB2"/>
    <w:rsid w:val="009D0D9F"/>
    <w:rsid w:val="009D3379"/>
    <w:rsid w:val="009D3597"/>
    <w:rsid w:val="009D3C4A"/>
    <w:rsid w:val="009D4E80"/>
    <w:rsid w:val="009D5FDA"/>
    <w:rsid w:val="009E00AE"/>
    <w:rsid w:val="009E05F9"/>
    <w:rsid w:val="009E09D3"/>
    <w:rsid w:val="009E0B07"/>
    <w:rsid w:val="009E4D11"/>
    <w:rsid w:val="009E56E9"/>
    <w:rsid w:val="009E6E74"/>
    <w:rsid w:val="009E74FF"/>
    <w:rsid w:val="009F1BB1"/>
    <w:rsid w:val="009F2E26"/>
    <w:rsid w:val="009F41B6"/>
    <w:rsid w:val="00A007E4"/>
    <w:rsid w:val="00A00967"/>
    <w:rsid w:val="00A0146A"/>
    <w:rsid w:val="00A055D5"/>
    <w:rsid w:val="00A059BF"/>
    <w:rsid w:val="00A0665A"/>
    <w:rsid w:val="00A10EAF"/>
    <w:rsid w:val="00A11529"/>
    <w:rsid w:val="00A117DF"/>
    <w:rsid w:val="00A11BB3"/>
    <w:rsid w:val="00A123F0"/>
    <w:rsid w:val="00A12683"/>
    <w:rsid w:val="00A129FB"/>
    <w:rsid w:val="00A13E58"/>
    <w:rsid w:val="00A13EA9"/>
    <w:rsid w:val="00A14B94"/>
    <w:rsid w:val="00A14E90"/>
    <w:rsid w:val="00A15FD8"/>
    <w:rsid w:val="00A20876"/>
    <w:rsid w:val="00A21288"/>
    <w:rsid w:val="00A21DCB"/>
    <w:rsid w:val="00A21FE5"/>
    <w:rsid w:val="00A224B8"/>
    <w:rsid w:val="00A2358F"/>
    <w:rsid w:val="00A24AB7"/>
    <w:rsid w:val="00A30BA1"/>
    <w:rsid w:val="00A329B0"/>
    <w:rsid w:val="00A3413F"/>
    <w:rsid w:val="00A34383"/>
    <w:rsid w:val="00A34BF0"/>
    <w:rsid w:val="00A37DEE"/>
    <w:rsid w:val="00A4198F"/>
    <w:rsid w:val="00A433C3"/>
    <w:rsid w:val="00A447BA"/>
    <w:rsid w:val="00A45DC3"/>
    <w:rsid w:val="00A5077A"/>
    <w:rsid w:val="00A50806"/>
    <w:rsid w:val="00A54075"/>
    <w:rsid w:val="00A5436E"/>
    <w:rsid w:val="00A54BB7"/>
    <w:rsid w:val="00A5643A"/>
    <w:rsid w:val="00A56C53"/>
    <w:rsid w:val="00A5723C"/>
    <w:rsid w:val="00A60D43"/>
    <w:rsid w:val="00A61EA9"/>
    <w:rsid w:val="00A62179"/>
    <w:rsid w:val="00A62FFA"/>
    <w:rsid w:val="00A63315"/>
    <w:rsid w:val="00A6335A"/>
    <w:rsid w:val="00A6426B"/>
    <w:rsid w:val="00A66499"/>
    <w:rsid w:val="00A671BE"/>
    <w:rsid w:val="00A704D2"/>
    <w:rsid w:val="00A707A4"/>
    <w:rsid w:val="00A72178"/>
    <w:rsid w:val="00A7274B"/>
    <w:rsid w:val="00A73F76"/>
    <w:rsid w:val="00A73FB8"/>
    <w:rsid w:val="00A763CB"/>
    <w:rsid w:val="00A772FF"/>
    <w:rsid w:val="00A777DF"/>
    <w:rsid w:val="00A8017C"/>
    <w:rsid w:val="00A801D1"/>
    <w:rsid w:val="00A81A75"/>
    <w:rsid w:val="00A81F69"/>
    <w:rsid w:val="00A849DE"/>
    <w:rsid w:val="00A8561D"/>
    <w:rsid w:val="00A91CB0"/>
    <w:rsid w:val="00A91D9B"/>
    <w:rsid w:val="00A929DC"/>
    <w:rsid w:val="00A93FC0"/>
    <w:rsid w:val="00A95D3F"/>
    <w:rsid w:val="00A95EAE"/>
    <w:rsid w:val="00A96067"/>
    <w:rsid w:val="00A976D0"/>
    <w:rsid w:val="00A97989"/>
    <w:rsid w:val="00AA000B"/>
    <w:rsid w:val="00AA01A5"/>
    <w:rsid w:val="00AA3484"/>
    <w:rsid w:val="00AA3621"/>
    <w:rsid w:val="00AA3CC7"/>
    <w:rsid w:val="00AA42B2"/>
    <w:rsid w:val="00AA55EF"/>
    <w:rsid w:val="00AA63C4"/>
    <w:rsid w:val="00AA69D6"/>
    <w:rsid w:val="00AA6DAA"/>
    <w:rsid w:val="00AA7E7B"/>
    <w:rsid w:val="00AB0A68"/>
    <w:rsid w:val="00AB1AF9"/>
    <w:rsid w:val="00AB2569"/>
    <w:rsid w:val="00AB37F1"/>
    <w:rsid w:val="00AB6659"/>
    <w:rsid w:val="00AB6D0F"/>
    <w:rsid w:val="00AB71B1"/>
    <w:rsid w:val="00AB7858"/>
    <w:rsid w:val="00AC115F"/>
    <w:rsid w:val="00AC533C"/>
    <w:rsid w:val="00AC61A6"/>
    <w:rsid w:val="00AC7E98"/>
    <w:rsid w:val="00AD094F"/>
    <w:rsid w:val="00AD0A75"/>
    <w:rsid w:val="00AD1D36"/>
    <w:rsid w:val="00AD1DD2"/>
    <w:rsid w:val="00AD2062"/>
    <w:rsid w:val="00AD2282"/>
    <w:rsid w:val="00AD2F1D"/>
    <w:rsid w:val="00AD3B70"/>
    <w:rsid w:val="00AD4550"/>
    <w:rsid w:val="00AD62C7"/>
    <w:rsid w:val="00AD65A5"/>
    <w:rsid w:val="00AD6CF9"/>
    <w:rsid w:val="00AE1ADC"/>
    <w:rsid w:val="00AE1E46"/>
    <w:rsid w:val="00AE22B3"/>
    <w:rsid w:val="00AE341D"/>
    <w:rsid w:val="00AE376E"/>
    <w:rsid w:val="00AE46AE"/>
    <w:rsid w:val="00AE5177"/>
    <w:rsid w:val="00AE581B"/>
    <w:rsid w:val="00AE63ED"/>
    <w:rsid w:val="00AE6BB9"/>
    <w:rsid w:val="00AF0989"/>
    <w:rsid w:val="00AF23BE"/>
    <w:rsid w:val="00AF28C7"/>
    <w:rsid w:val="00AF416A"/>
    <w:rsid w:val="00AF47C4"/>
    <w:rsid w:val="00AF507F"/>
    <w:rsid w:val="00AF5B9E"/>
    <w:rsid w:val="00AF5D45"/>
    <w:rsid w:val="00AF5D6C"/>
    <w:rsid w:val="00AF785C"/>
    <w:rsid w:val="00B00EC0"/>
    <w:rsid w:val="00B01C2D"/>
    <w:rsid w:val="00B023A8"/>
    <w:rsid w:val="00B02695"/>
    <w:rsid w:val="00B0406F"/>
    <w:rsid w:val="00B04D4F"/>
    <w:rsid w:val="00B05DDC"/>
    <w:rsid w:val="00B075FF"/>
    <w:rsid w:val="00B1029F"/>
    <w:rsid w:val="00B13C4F"/>
    <w:rsid w:val="00B17D49"/>
    <w:rsid w:val="00B206FF"/>
    <w:rsid w:val="00B20AB2"/>
    <w:rsid w:val="00B22BA1"/>
    <w:rsid w:val="00B22BED"/>
    <w:rsid w:val="00B2454C"/>
    <w:rsid w:val="00B24F89"/>
    <w:rsid w:val="00B26EE6"/>
    <w:rsid w:val="00B306BF"/>
    <w:rsid w:val="00B30ED7"/>
    <w:rsid w:val="00B316D9"/>
    <w:rsid w:val="00B338CE"/>
    <w:rsid w:val="00B3498C"/>
    <w:rsid w:val="00B34E05"/>
    <w:rsid w:val="00B34F49"/>
    <w:rsid w:val="00B35EEF"/>
    <w:rsid w:val="00B43CAD"/>
    <w:rsid w:val="00B449D3"/>
    <w:rsid w:val="00B467BE"/>
    <w:rsid w:val="00B46901"/>
    <w:rsid w:val="00B4738F"/>
    <w:rsid w:val="00B47C24"/>
    <w:rsid w:val="00B505BF"/>
    <w:rsid w:val="00B51536"/>
    <w:rsid w:val="00B52C57"/>
    <w:rsid w:val="00B5316A"/>
    <w:rsid w:val="00B53397"/>
    <w:rsid w:val="00B5394E"/>
    <w:rsid w:val="00B544EC"/>
    <w:rsid w:val="00B54AC0"/>
    <w:rsid w:val="00B55A49"/>
    <w:rsid w:val="00B62C41"/>
    <w:rsid w:val="00B639C0"/>
    <w:rsid w:val="00B64265"/>
    <w:rsid w:val="00B6584E"/>
    <w:rsid w:val="00B67E33"/>
    <w:rsid w:val="00B67F76"/>
    <w:rsid w:val="00B70EFF"/>
    <w:rsid w:val="00B70F2F"/>
    <w:rsid w:val="00B71683"/>
    <w:rsid w:val="00B7366E"/>
    <w:rsid w:val="00B7389B"/>
    <w:rsid w:val="00B74957"/>
    <w:rsid w:val="00B7558C"/>
    <w:rsid w:val="00B7749D"/>
    <w:rsid w:val="00B821FC"/>
    <w:rsid w:val="00B82962"/>
    <w:rsid w:val="00B82EFA"/>
    <w:rsid w:val="00B8316C"/>
    <w:rsid w:val="00B8524E"/>
    <w:rsid w:val="00B85794"/>
    <w:rsid w:val="00B9194F"/>
    <w:rsid w:val="00B95AD3"/>
    <w:rsid w:val="00BA003B"/>
    <w:rsid w:val="00BA1C92"/>
    <w:rsid w:val="00BA242B"/>
    <w:rsid w:val="00BA24C8"/>
    <w:rsid w:val="00BA2625"/>
    <w:rsid w:val="00BA4315"/>
    <w:rsid w:val="00BA5AF7"/>
    <w:rsid w:val="00BB02C3"/>
    <w:rsid w:val="00BB05E2"/>
    <w:rsid w:val="00BB25FF"/>
    <w:rsid w:val="00BB5073"/>
    <w:rsid w:val="00BB5183"/>
    <w:rsid w:val="00BB5A88"/>
    <w:rsid w:val="00BB7C04"/>
    <w:rsid w:val="00BD02C9"/>
    <w:rsid w:val="00BD077A"/>
    <w:rsid w:val="00BD0E60"/>
    <w:rsid w:val="00BD1111"/>
    <w:rsid w:val="00BD26B6"/>
    <w:rsid w:val="00BD3EFF"/>
    <w:rsid w:val="00BD4EDB"/>
    <w:rsid w:val="00BD625C"/>
    <w:rsid w:val="00BD64AB"/>
    <w:rsid w:val="00BD7DF4"/>
    <w:rsid w:val="00BE01C6"/>
    <w:rsid w:val="00BE20CB"/>
    <w:rsid w:val="00BE22B3"/>
    <w:rsid w:val="00BE23CC"/>
    <w:rsid w:val="00BE4DAC"/>
    <w:rsid w:val="00BE6BAC"/>
    <w:rsid w:val="00BE7A0F"/>
    <w:rsid w:val="00BF13F8"/>
    <w:rsid w:val="00BF1740"/>
    <w:rsid w:val="00BF1BC9"/>
    <w:rsid w:val="00BF68F1"/>
    <w:rsid w:val="00BF6EA9"/>
    <w:rsid w:val="00C01B9F"/>
    <w:rsid w:val="00C01CFF"/>
    <w:rsid w:val="00C02C7D"/>
    <w:rsid w:val="00C040DC"/>
    <w:rsid w:val="00C06373"/>
    <w:rsid w:val="00C073B9"/>
    <w:rsid w:val="00C11B9D"/>
    <w:rsid w:val="00C13346"/>
    <w:rsid w:val="00C1494D"/>
    <w:rsid w:val="00C15B78"/>
    <w:rsid w:val="00C16F10"/>
    <w:rsid w:val="00C214C1"/>
    <w:rsid w:val="00C2207B"/>
    <w:rsid w:val="00C23075"/>
    <w:rsid w:val="00C236DA"/>
    <w:rsid w:val="00C260B3"/>
    <w:rsid w:val="00C26B46"/>
    <w:rsid w:val="00C27109"/>
    <w:rsid w:val="00C27437"/>
    <w:rsid w:val="00C3017D"/>
    <w:rsid w:val="00C30BAD"/>
    <w:rsid w:val="00C312D1"/>
    <w:rsid w:val="00C3200B"/>
    <w:rsid w:val="00C33BAA"/>
    <w:rsid w:val="00C341E4"/>
    <w:rsid w:val="00C36DB7"/>
    <w:rsid w:val="00C42812"/>
    <w:rsid w:val="00C44D99"/>
    <w:rsid w:val="00C46129"/>
    <w:rsid w:val="00C469B2"/>
    <w:rsid w:val="00C5114B"/>
    <w:rsid w:val="00C518DD"/>
    <w:rsid w:val="00C5232D"/>
    <w:rsid w:val="00C529E8"/>
    <w:rsid w:val="00C55119"/>
    <w:rsid w:val="00C577C2"/>
    <w:rsid w:val="00C6013F"/>
    <w:rsid w:val="00C60C5A"/>
    <w:rsid w:val="00C62087"/>
    <w:rsid w:val="00C632D7"/>
    <w:rsid w:val="00C63537"/>
    <w:rsid w:val="00C6488C"/>
    <w:rsid w:val="00C66273"/>
    <w:rsid w:val="00C6636B"/>
    <w:rsid w:val="00C70A6D"/>
    <w:rsid w:val="00C71561"/>
    <w:rsid w:val="00C71E70"/>
    <w:rsid w:val="00C71E85"/>
    <w:rsid w:val="00C72309"/>
    <w:rsid w:val="00C731AA"/>
    <w:rsid w:val="00C74348"/>
    <w:rsid w:val="00C74E98"/>
    <w:rsid w:val="00C75A77"/>
    <w:rsid w:val="00C75F1A"/>
    <w:rsid w:val="00C75FBB"/>
    <w:rsid w:val="00C76488"/>
    <w:rsid w:val="00C76CD7"/>
    <w:rsid w:val="00C777C3"/>
    <w:rsid w:val="00C80124"/>
    <w:rsid w:val="00C8124F"/>
    <w:rsid w:val="00C81513"/>
    <w:rsid w:val="00C84637"/>
    <w:rsid w:val="00C864A7"/>
    <w:rsid w:val="00C9062B"/>
    <w:rsid w:val="00C9157E"/>
    <w:rsid w:val="00C925EF"/>
    <w:rsid w:val="00C92AD3"/>
    <w:rsid w:val="00C9363A"/>
    <w:rsid w:val="00C93999"/>
    <w:rsid w:val="00C93F0B"/>
    <w:rsid w:val="00C951A6"/>
    <w:rsid w:val="00C95865"/>
    <w:rsid w:val="00C9590C"/>
    <w:rsid w:val="00CA074A"/>
    <w:rsid w:val="00CA1009"/>
    <w:rsid w:val="00CA14ED"/>
    <w:rsid w:val="00CA2375"/>
    <w:rsid w:val="00CA30B4"/>
    <w:rsid w:val="00CA342A"/>
    <w:rsid w:val="00CA4180"/>
    <w:rsid w:val="00CA48CA"/>
    <w:rsid w:val="00CA4BF0"/>
    <w:rsid w:val="00CA5307"/>
    <w:rsid w:val="00CA67D1"/>
    <w:rsid w:val="00CA6D07"/>
    <w:rsid w:val="00CA72FC"/>
    <w:rsid w:val="00CA77B3"/>
    <w:rsid w:val="00CA7C34"/>
    <w:rsid w:val="00CB073E"/>
    <w:rsid w:val="00CB1476"/>
    <w:rsid w:val="00CB1D8C"/>
    <w:rsid w:val="00CB293C"/>
    <w:rsid w:val="00CB56F5"/>
    <w:rsid w:val="00CB6B29"/>
    <w:rsid w:val="00CB6E04"/>
    <w:rsid w:val="00CC05A7"/>
    <w:rsid w:val="00CC0D59"/>
    <w:rsid w:val="00CC2512"/>
    <w:rsid w:val="00CC4C58"/>
    <w:rsid w:val="00CC547F"/>
    <w:rsid w:val="00CC6C21"/>
    <w:rsid w:val="00CC6DC2"/>
    <w:rsid w:val="00CC7AC1"/>
    <w:rsid w:val="00CD1DFF"/>
    <w:rsid w:val="00CD3382"/>
    <w:rsid w:val="00CD5D21"/>
    <w:rsid w:val="00CD733D"/>
    <w:rsid w:val="00CE0E9F"/>
    <w:rsid w:val="00CE1BCC"/>
    <w:rsid w:val="00CE1CC9"/>
    <w:rsid w:val="00CE3FEF"/>
    <w:rsid w:val="00CE40D7"/>
    <w:rsid w:val="00CE5874"/>
    <w:rsid w:val="00CE5D36"/>
    <w:rsid w:val="00CE5F52"/>
    <w:rsid w:val="00CE665D"/>
    <w:rsid w:val="00CE6BFC"/>
    <w:rsid w:val="00CE7906"/>
    <w:rsid w:val="00CE7C8B"/>
    <w:rsid w:val="00CF0E19"/>
    <w:rsid w:val="00CF1199"/>
    <w:rsid w:val="00CF221F"/>
    <w:rsid w:val="00CF32B4"/>
    <w:rsid w:val="00CF7592"/>
    <w:rsid w:val="00CF76F3"/>
    <w:rsid w:val="00D022E7"/>
    <w:rsid w:val="00D05342"/>
    <w:rsid w:val="00D06C1C"/>
    <w:rsid w:val="00D138CB"/>
    <w:rsid w:val="00D1780D"/>
    <w:rsid w:val="00D20653"/>
    <w:rsid w:val="00D21B4A"/>
    <w:rsid w:val="00D2254A"/>
    <w:rsid w:val="00D239A6"/>
    <w:rsid w:val="00D23CB1"/>
    <w:rsid w:val="00D24013"/>
    <w:rsid w:val="00D27297"/>
    <w:rsid w:val="00D27C8A"/>
    <w:rsid w:val="00D27D9B"/>
    <w:rsid w:val="00D3498D"/>
    <w:rsid w:val="00D34C41"/>
    <w:rsid w:val="00D376DB"/>
    <w:rsid w:val="00D40328"/>
    <w:rsid w:val="00D40A00"/>
    <w:rsid w:val="00D40BEC"/>
    <w:rsid w:val="00D40DE9"/>
    <w:rsid w:val="00D41212"/>
    <w:rsid w:val="00D415AD"/>
    <w:rsid w:val="00D4176B"/>
    <w:rsid w:val="00D42B45"/>
    <w:rsid w:val="00D42FE6"/>
    <w:rsid w:val="00D44D06"/>
    <w:rsid w:val="00D459CA"/>
    <w:rsid w:val="00D45D38"/>
    <w:rsid w:val="00D52CCF"/>
    <w:rsid w:val="00D55BDC"/>
    <w:rsid w:val="00D56DA3"/>
    <w:rsid w:val="00D575BD"/>
    <w:rsid w:val="00D5769B"/>
    <w:rsid w:val="00D57CFC"/>
    <w:rsid w:val="00D627D5"/>
    <w:rsid w:val="00D642C3"/>
    <w:rsid w:val="00D64A19"/>
    <w:rsid w:val="00D65698"/>
    <w:rsid w:val="00D660A1"/>
    <w:rsid w:val="00D66FFC"/>
    <w:rsid w:val="00D71778"/>
    <w:rsid w:val="00D71F30"/>
    <w:rsid w:val="00D736C0"/>
    <w:rsid w:val="00D80EAA"/>
    <w:rsid w:val="00D8104C"/>
    <w:rsid w:val="00D919DE"/>
    <w:rsid w:val="00D92274"/>
    <w:rsid w:val="00D92AAD"/>
    <w:rsid w:val="00D9310E"/>
    <w:rsid w:val="00D94339"/>
    <w:rsid w:val="00D96467"/>
    <w:rsid w:val="00D96838"/>
    <w:rsid w:val="00D9707F"/>
    <w:rsid w:val="00D97437"/>
    <w:rsid w:val="00D9752E"/>
    <w:rsid w:val="00D97880"/>
    <w:rsid w:val="00D97D8A"/>
    <w:rsid w:val="00DA12FB"/>
    <w:rsid w:val="00DA1AFB"/>
    <w:rsid w:val="00DA1F8E"/>
    <w:rsid w:val="00DA2E5F"/>
    <w:rsid w:val="00DA3137"/>
    <w:rsid w:val="00DA57A4"/>
    <w:rsid w:val="00DA5CB1"/>
    <w:rsid w:val="00DA6A7C"/>
    <w:rsid w:val="00DA794A"/>
    <w:rsid w:val="00DB0D07"/>
    <w:rsid w:val="00DB67D2"/>
    <w:rsid w:val="00DC1CD4"/>
    <w:rsid w:val="00DC365F"/>
    <w:rsid w:val="00DC39E8"/>
    <w:rsid w:val="00DC490F"/>
    <w:rsid w:val="00DC4922"/>
    <w:rsid w:val="00DC4950"/>
    <w:rsid w:val="00DC585C"/>
    <w:rsid w:val="00DC5AE2"/>
    <w:rsid w:val="00DC6403"/>
    <w:rsid w:val="00DC6751"/>
    <w:rsid w:val="00DC7885"/>
    <w:rsid w:val="00DD0938"/>
    <w:rsid w:val="00DD1329"/>
    <w:rsid w:val="00DD165D"/>
    <w:rsid w:val="00DD27A6"/>
    <w:rsid w:val="00DD2928"/>
    <w:rsid w:val="00DD31F2"/>
    <w:rsid w:val="00DD3A4E"/>
    <w:rsid w:val="00DD4D17"/>
    <w:rsid w:val="00DD51B7"/>
    <w:rsid w:val="00DD5652"/>
    <w:rsid w:val="00DD5BA3"/>
    <w:rsid w:val="00DD699B"/>
    <w:rsid w:val="00DD788A"/>
    <w:rsid w:val="00DE208C"/>
    <w:rsid w:val="00DE2205"/>
    <w:rsid w:val="00DE6485"/>
    <w:rsid w:val="00DE6998"/>
    <w:rsid w:val="00DF0054"/>
    <w:rsid w:val="00DF049F"/>
    <w:rsid w:val="00DF10DE"/>
    <w:rsid w:val="00DF3309"/>
    <w:rsid w:val="00DF3ED3"/>
    <w:rsid w:val="00DF5124"/>
    <w:rsid w:val="00DF6415"/>
    <w:rsid w:val="00DF6776"/>
    <w:rsid w:val="00DF69CE"/>
    <w:rsid w:val="00DF6B63"/>
    <w:rsid w:val="00DF750C"/>
    <w:rsid w:val="00DF76B1"/>
    <w:rsid w:val="00DF7A70"/>
    <w:rsid w:val="00DF7A8E"/>
    <w:rsid w:val="00DF7F39"/>
    <w:rsid w:val="00E00496"/>
    <w:rsid w:val="00E006B9"/>
    <w:rsid w:val="00E06A75"/>
    <w:rsid w:val="00E06C7F"/>
    <w:rsid w:val="00E11AE1"/>
    <w:rsid w:val="00E132F8"/>
    <w:rsid w:val="00E15695"/>
    <w:rsid w:val="00E1702C"/>
    <w:rsid w:val="00E177AA"/>
    <w:rsid w:val="00E2257D"/>
    <w:rsid w:val="00E22EE8"/>
    <w:rsid w:val="00E23ABB"/>
    <w:rsid w:val="00E23D0B"/>
    <w:rsid w:val="00E23E99"/>
    <w:rsid w:val="00E267A8"/>
    <w:rsid w:val="00E268D1"/>
    <w:rsid w:val="00E26AF9"/>
    <w:rsid w:val="00E275EB"/>
    <w:rsid w:val="00E27DCB"/>
    <w:rsid w:val="00E3093A"/>
    <w:rsid w:val="00E30F94"/>
    <w:rsid w:val="00E31DFB"/>
    <w:rsid w:val="00E32243"/>
    <w:rsid w:val="00E33078"/>
    <w:rsid w:val="00E335AB"/>
    <w:rsid w:val="00E33AB6"/>
    <w:rsid w:val="00E35C31"/>
    <w:rsid w:val="00E36227"/>
    <w:rsid w:val="00E36CBF"/>
    <w:rsid w:val="00E4012C"/>
    <w:rsid w:val="00E40BFB"/>
    <w:rsid w:val="00E41B66"/>
    <w:rsid w:val="00E4258E"/>
    <w:rsid w:val="00E42A8F"/>
    <w:rsid w:val="00E4308F"/>
    <w:rsid w:val="00E4379A"/>
    <w:rsid w:val="00E44F15"/>
    <w:rsid w:val="00E475B2"/>
    <w:rsid w:val="00E5046F"/>
    <w:rsid w:val="00E50AA2"/>
    <w:rsid w:val="00E51A79"/>
    <w:rsid w:val="00E5223F"/>
    <w:rsid w:val="00E537F1"/>
    <w:rsid w:val="00E567E3"/>
    <w:rsid w:val="00E6185D"/>
    <w:rsid w:val="00E63999"/>
    <w:rsid w:val="00E665BB"/>
    <w:rsid w:val="00E66B4F"/>
    <w:rsid w:val="00E678BB"/>
    <w:rsid w:val="00E7350A"/>
    <w:rsid w:val="00E741D5"/>
    <w:rsid w:val="00E74474"/>
    <w:rsid w:val="00E755C4"/>
    <w:rsid w:val="00E764E3"/>
    <w:rsid w:val="00E76542"/>
    <w:rsid w:val="00E76D8F"/>
    <w:rsid w:val="00E804F2"/>
    <w:rsid w:val="00E8130B"/>
    <w:rsid w:val="00E82986"/>
    <w:rsid w:val="00E838D3"/>
    <w:rsid w:val="00E852DE"/>
    <w:rsid w:val="00E8700C"/>
    <w:rsid w:val="00E87A6A"/>
    <w:rsid w:val="00E914A9"/>
    <w:rsid w:val="00E9232A"/>
    <w:rsid w:val="00E92480"/>
    <w:rsid w:val="00E960F9"/>
    <w:rsid w:val="00EA2459"/>
    <w:rsid w:val="00EA31BC"/>
    <w:rsid w:val="00EA389F"/>
    <w:rsid w:val="00EA3D3F"/>
    <w:rsid w:val="00EA4D1B"/>
    <w:rsid w:val="00EB1D11"/>
    <w:rsid w:val="00EB281B"/>
    <w:rsid w:val="00EB2D5A"/>
    <w:rsid w:val="00EB58EF"/>
    <w:rsid w:val="00EB5A08"/>
    <w:rsid w:val="00EC1B20"/>
    <w:rsid w:val="00EC1C50"/>
    <w:rsid w:val="00EC2109"/>
    <w:rsid w:val="00EC358E"/>
    <w:rsid w:val="00EC50FE"/>
    <w:rsid w:val="00ED1204"/>
    <w:rsid w:val="00ED144A"/>
    <w:rsid w:val="00ED1C9C"/>
    <w:rsid w:val="00ED3D05"/>
    <w:rsid w:val="00ED5025"/>
    <w:rsid w:val="00ED5616"/>
    <w:rsid w:val="00ED783D"/>
    <w:rsid w:val="00ED7944"/>
    <w:rsid w:val="00EE2C80"/>
    <w:rsid w:val="00EE56FC"/>
    <w:rsid w:val="00EE5713"/>
    <w:rsid w:val="00EE64AE"/>
    <w:rsid w:val="00EE715F"/>
    <w:rsid w:val="00EE78AB"/>
    <w:rsid w:val="00EE7A6E"/>
    <w:rsid w:val="00EF0630"/>
    <w:rsid w:val="00EF0FBB"/>
    <w:rsid w:val="00EF10C4"/>
    <w:rsid w:val="00EF1245"/>
    <w:rsid w:val="00EF4D7B"/>
    <w:rsid w:val="00EF643B"/>
    <w:rsid w:val="00EF6A37"/>
    <w:rsid w:val="00EF700D"/>
    <w:rsid w:val="00EF7129"/>
    <w:rsid w:val="00F03D96"/>
    <w:rsid w:val="00F04956"/>
    <w:rsid w:val="00F06445"/>
    <w:rsid w:val="00F06647"/>
    <w:rsid w:val="00F06774"/>
    <w:rsid w:val="00F07114"/>
    <w:rsid w:val="00F10C3F"/>
    <w:rsid w:val="00F11505"/>
    <w:rsid w:val="00F11EBC"/>
    <w:rsid w:val="00F127C7"/>
    <w:rsid w:val="00F14130"/>
    <w:rsid w:val="00F155A5"/>
    <w:rsid w:val="00F15A10"/>
    <w:rsid w:val="00F15AC1"/>
    <w:rsid w:val="00F16363"/>
    <w:rsid w:val="00F2017F"/>
    <w:rsid w:val="00F206A7"/>
    <w:rsid w:val="00F20F1A"/>
    <w:rsid w:val="00F222A6"/>
    <w:rsid w:val="00F23126"/>
    <w:rsid w:val="00F27093"/>
    <w:rsid w:val="00F3105E"/>
    <w:rsid w:val="00F31AAB"/>
    <w:rsid w:val="00F322A9"/>
    <w:rsid w:val="00F34F9F"/>
    <w:rsid w:val="00F37743"/>
    <w:rsid w:val="00F400A2"/>
    <w:rsid w:val="00F41591"/>
    <w:rsid w:val="00F41A63"/>
    <w:rsid w:val="00F45BEB"/>
    <w:rsid w:val="00F46006"/>
    <w:rsid w:val="00F51D66"/>
    <w:rsid w:val="00F5288F"/>
    <w:rsid w:val="00F5361B"/>
    <w:rsid w:val="00F54523"/>
    <w:rsid w:val="00F606A0"/>
    <w:rsid w:val="00F6205B"/>
    <w:rsid w:val="00F6281E"/>
    <w:rsid w:val="00F6371A"/>
    <w:rsid w:val="00F64A30"/>
    <w:rsid w:val="00F64D4C"/>
    <w:rsid w:val="00F661C5"/>
    <w:rsid w:val="00F706FD"/>
    <w:rsid w:val="00F70793"/>
    <w:rsid w:val="00F7137B"/>
    <w:rsid w:val="00F72AC7"/>
    <w:rsid w:val="00F738CD"/>
    <w:rsid w:val="00F8396F"/>
    <w:rsid w:val="00F84544"/>
    <w:rsid w:val="00F86A6E"/>
    <w:rsid w:val="00F90552"/>
    <w:rsid w:val="00F908B7"/>
    <w:rsid w:val="00F91919"/>
    <w:rsid w:val="00F91C4A"/>
    <w:rsid w:val="00F9396D"/>
    <w:rsid w:val="00F9442A"/>
    <w:rsid w:val="00F954FA"/>
    <w:rsid w:val="00F95B1F"/>
    <w:rsid w:val="00F96904"/>
    <w:rsid w:val="00F96EB7"/>
    <w:rsid w:val="00FA05B2"/>
    <w:rsid w:val="00FA0889"/>
    <w:rsid w:val="00FA2981"/>
    <w:rsid w:val="00FA3525"/>
    <w:rsid w:val="00FA4DF7"/>
    <w:rsid w:val="00FA5EA2"/>
    <w:rsid w:val="00FA68A7"/>
    <w:rsid w:val="00FA6901"/>
    <w:rsid w:val="00FA7218"/>
    <w:rsid w:val="00FB0662"/>
    <w:rsid w:val="00FB08D7"/>
    <w:rsid w:val="00FB5312"/>
    <w:rsid w:val="00FB7138"/>
    <w:rsid w:val="00FB7367"/>
    <w:rsid w:val="00FC07BC"/>
    <w:rsid w:val="00FC0C51"/>
    <w:rsid w:val="00FC3903"/>
    <w:rsid w:val="00FC649E"/>
    <w:rsid w:val="00FC6848"/>
    <w:rsid w:val="00FC7B56"/>
    <w:rsid w:val="00FC7E39"/>
    <w:rsid w:val="00FD000F"/>
    <w:rsid w:val="00FD0CA4"/>
    <w:rsid w:val="00FD16C2"/>
    <w:rsid w:val="00FD452A"/>
    <w:rsid w:val="00FD7C51"/>
    <w:rsid w:val="00FE0F6D"/>
    <w:rsid w:val="00FE1B88"/>
    <w:rsid w:val="00FE2766"/>
    <w:rsid w:val="00FE472B"/>
    <w:rsid w:val="00FE64B1"/>
    <w:rsid w:val="00FF17E3"/>
    <w:rsid w:val="00FF3337"/>
    <w:rsid w:val="00FF4AC8"/>
    <w:rsid w:val="00FF4E84"/>
    <w:rsid w:val="00FF605C"/>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260773E"/>
  <w15:docId w15:val="{6942C57F-20CB-4B2C-BF97-455C01FA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866D1A"/>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6D1A"/>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03284E"/>
    <w:pPr>
      <w:tabs>
        <w:tab w:val="left" w:pos="880"/>
        <w:tab w:val="right" w:pos="9498"/>
      </w:tabs>
      <w:spacing w:after="120"/>
      <w:ind w:left="851" w:hanging="613"/>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Bullets"/>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iPriority w:val="99"/>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Bullets Char"/>
    <w:basedOn w:val="DefaultParagraphFont"/>
    <w:link w:val="ListParagraph"/>
    <w:uiPriority w:val="34"/>
    <w:qFormat/>
    <w:rsid w:val="006271E5"/>
    <w:rPr>
      <w:color w:val="0D0D0D" w:themeColor="text1" w:themeTint="F2"/>
      <w:sz w:val="24"/>
      <w:szCs w:val="24"/>
    </w:rPr>
  </w:style>
  <w:style w:type="table" w:customStyle="1" w:styleId="TableGrid1">
    <w:name w:val="Table Grid1"/>
    <w:basedOn w:val="TableNormal"/>
    <w:next w:val="TableGrid"/>
    <w:uiPriority w:val="59"/>
    <w:rsid w:val="0062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ed">
    <w:name w:val="TableHeaderCentered"/>
    <w:basedOn w:val="TableHeader"/>
    <w:rsid w:val="004C6B3A"/>
    <w:rPr>
      <w:bCs/>
      <w:color w:val="auto"/>
      <w:szCs w:val="20"/>
    </w:rPr>
  </w:style>
  <w:style w:type="paragraph" w:styleId="EndnoteText">
    <w:name w:val="endnote text"/>
    <w:basedOn w:val="Normal"/>
    <w:link w:val="EndnoteTextChar"/>
    <w:semiHidden/>
    <w:unhideWhenUsed/>
    <w:rsid w:val="00CB1476"/>
    <w:pPr>
      <w:spacing w:after="0" w:line="240" w:lineRule="auto"/>
    </w:pPr>
    <w:rPr>
      <w:sz w:val="20"/>
      <w:szCs w:val="20"/>
    </w:rPr>
  </w:style>
  <w:style w:type="character" w:customStyle="1" w:styleId="EndnoteTextChar">
    <w:name w:val="Endnote Text Char"/>
    <w:basedOn w:val="DefaultParagraphFont"/>
    <w:link w:val="EndnoteText"/>
    <w:semiHidden/>
    <w:rsid w:val="00CB1476"/>
    <w:rPr>
      <w:color w:val="0D0D0D" w:themeColor="text1" w:themeTint="F2"/>
    </w:rPr>
  </w:style>
  <w:style w:type="character" w:styleId="EndnoteReference">
    <w:name w:val="endnote reference"/>
    <w:basedOn w:val="DefaultParagraphFont"/>
    <w:semiHidden/>
    <w:unhideWhenUsed/>
    <w:rsid w:val="00CB1476"/>
    <w:rPr>
      <w:vertAlign w:val="superscript"/>
    </w:rPr>
  </w:style>
  <w:style w:type="character" w:styleId="PlaceholderText">
    <w:name w:val="Placeholder Text"/>
    <w:basedOn w:val="DefaultParagraphFont"/>
    <w:uiPriority w:val="99"/>
    <w:semiHidden/>
    <w:rsid w:val="00F46006"/>
    <w:rPr>
      <w:color w:val="808080"/>
    </w:rPr>
  </w:style>
  <w:style w:type="paragraph" w:customStyle="1" w:styleId="DfESBullets">
    <w:name w:val="DfESBullets"/>
    <w:basedOn w:val="Normal"/>
    <w:rsid w:val="00C42812"/>
    <w:pPr>
      <w:widowControl w:val="0"/>
      <w:numPr>
        <w:numId w:val="11"/>
      </w:numPr>
      <w:overflowPunct w:val="0"/>
      <w:autoSpaceDE w:val="0"/>
      <w:autoSpaceDN w:val="0"/>
      <w:adjustRightInd w:val="0"/>
      <w:spacing w:line="240" w:lineRule="auto"/>
      <w:textAlignment w:val="baseline"/>
    </w:pPr>
    <w:rPr>
      <w:rFonts w:cs="Arial"/>
      <w:color w:val="auto"/>
      <w:sz w:val="22"/>
      <w:szCs w:val="20"/>
      <w:lang w:eastAsia="en-US"/>
    </w:rPr>
  </w:style>
  <w:style w:type="table" w:styleId="Table3Deffects3">
    <w:name w:val="Table 3D effects 3"/>
    <w:basedOn w:val="TableNormal"/>
    <w:rsid w:val="008E5010"/>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24B8"/>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2467"/>
    <w:pPr>
      <w:spacing w:after="24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2674ED"/>
    <w:rPr>
      <w:color w:val="0D0D0D" w:themeColor="text1" w:themeTint="F2"/>
      <w:sz w:val="24"/>
      <w:szCs w:val="24"/>
    </w:rPr>
  </w:style>
  <w:style w:type="table" w:styleId="LightList-Accent1">
    <w:name w:val="Light List Accent 1"/>
    <w:basedOn w:val="TableNormal"/>
    <w:uiPriority w:val="61"/>
    <w:rsid w:val="00690B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rsid w:val="00633D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3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50644408">
      <w:bodyDiv w:val="1"/>
      <w:marLeft w:val="0"/>
      <w:marRight w:val="0"/>
      <w:marTop w:val="0"/>
      <w:marBottom w:val="0"/>
      <w:divBdr>
        <w:top w:val="none" w:sz="0" w:space="0" w:color="auto"/>
        <w:left w:val="none" w:sz="0" w:space="0" w:color="auto"/>
        <w:bottom w:val="none" w:sz="0" w:space="0" w:color="auto"/>
        <w:right w:val="none" w:sz="0" w:space="0" w:color="auto"/>
      </w:divBdr>
    </w:div>
    <w:div w:id="374931794">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5870687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41097204">
      <w:bodyDiv w:val="1"/>
      <w:marLeft w:val="0"/>
      <w:marRight w:val="0"/>
      <w:marTop w:val="0"/>
      <w:marBottom w:val="0"/>
      <w:divBdr>
        <w:top w:val="none" w:sz="0" w:space="0" w:color="auto"/>
        <w:left w:val="none" w:sz="0" w:space="0" w:color="auto"/>
        <w:bottom w:val="none" w:sz="0" w:space="0" w:color="auto"/>
        <w:right w:val="none" w:sz="0" w:space="0" w:color="auto"/>
      </w:divBdr>
    </w:div>
    <w:div w:id="753627456">
      <w:bodyDiv w:val="1"/>
      <w:marLeft w:val="0"/>
      <w:marRight w:val="0"/>
      <w:marTop w:val="0"/>
      <w:marBottom w:val="0"/>
      <w:divBdr>
        <w:top w:val="none" w:sz="0" w:space="0" w:color="auto"/>
        <w:left w:val="none" w:sz="0" w:space="0" w:color="auto"/>
        <w:bottom w:val="none" w:sz="0" w:space="0" w:color="auto"/>
        <w:right w:val="none" w:sz="0" w:space="0" w:color="auto"/>
      </w:divBdr>
    </w:div>
    <w:div w:id="767044893">
      <w:bodyDiv w:val="1"/>
      <w:marLeft w:val="0"/>
      <w:marRight w:val="0"/>
      <w:marTop w:val="0"/>
      <w:marBottom w:val="0"/>
      <w:divBdr>
        <w:top w:val="none" w:sz="0" w:space="0" w:color="auto"/>
        <w:left w:val="none" w:sz="0" w:space="0" w:color="auto"/>
        <w:bottom w:val="none" w:sz="0" w:space="0" w:color="auto"/>
        <w:right w:val="none" w:sz="0" w:space="0" w:color="auto"/>
      </w:divBdr>
    </w:div>
    <w:div w:id="805976500">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78132273">
      <w:bodyDiv w:val="1"/>
      <w:marLeft w:val="0"/>
      <w:marRight w:val="0"/>
      <w:marTop w:val="0"/>
      <w:marBottom w:val="0"/>
      <w:divBdr>
        <w:top w:val="none" w:sz="0" w:space="0" w:color="auto"/>
        <w:left w:val="none" w:sz="0" w:space="0" w:color="auto"/>
        <w:bottom w:val="none" w:sz="0" w:space="0" w:color="auto"/>
        <w:right w:val="none" w:sz="0" w:space="0" w:color="auto"/>
      </w:divBdr>
    </w:div>
    <w:div w:id="980229126">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48286904">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822742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93401870">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government/publications/early-years-national-funding-formula-allocations-and-guidance" TargetMode="External"/><Relationship Id="rId26"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uploads/system/uploads/attachment_data/file/574004/EYNFF_step-by-step_guide_for_LAs_on_the_calculation_for_the_allocations.xlsx" TargetMode="External"/><Relationship Id="rId25" Type="http://schemas.openxmlformats.org/officeDocument/2006/relationships/hyperlink" Target="mailto:psi@nationalarchives.gsi.gov.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arly-years-national-funding-formula-allocations-and-guidance" TargetMode="External"/><Relationship Id="rId20" Type="http://schemas.openxmlformats.org/officeDocument/2006/relationships/hyperlink" Target="https://www.gov.uk/government/publications/early-years-national-funding-formula-allocations-and-guidance" TargetMode="External"/><Relationship Id="rId29"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nationalarchives.gov.uk/doc/open-government-licence/version/3/"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overnment/publications/early-years-national-funding-formula-allocations-and-guidance"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government/publications/early-years-national-funding-formula-allocations-and-guidance" TargetMode="External"/><Relationship Id="rId31" Type="http://schemas.openxmlformats.org/officeDocument/2006/relationships/hyperlink" Target="http://www.facebook.com/education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http://www.gov.uk/government/publications" TargetMode="External"/><Relationship Id="rId30" Type="http://schemas.openxmlformats.org/officeDocument/2006/relationships/image" Target="media/image6.png"/><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8334B0BB0C5E59449CBC1BC86D76D571" ma:contentTypeVersion="10" ma:contentTypeDescription="For departmental policy briefings. Records retained for 10 years." ma:contentTypeScope="" ma:versionID="a7f2932f7e39df18555d8b2ee49b8bc6">
  <xsd:schema xmlns:xsd="http://www.w3.org/2001/XMLSchema" xmlns:xs="http://www.w3.org/2001/XMLSchema" xmlns:p="http://schemas.microsoft.com/office/2006/metadata/properties" xmlns:ns1="http://schemas.microsoft.com/sharepoint/v3" xmlns:ns2="b8cb3cbd-ce5c-4a72-9da4-9013f91c5903" xmlns:ns3="b2c58c46-1844-4e06-83a2-fa8c8b6c7df2" targetNamespace="http://schemas.microsoft.com/office/2006/metadata/properties" ma:root="true" ma:fieldsID="373e529595c675dee9bd7d3a94dfd09b" ns1:_="" ns2:_="" ns3:_="">
    <xsd:import namespace="http://schemas.microsoft.com/sharepoint/v3"/>
    <xsd:import namespace="b8cb3cbd-ce5c-4a72-9da4-9013f91c5903"/>
    <xsd:import namespace="b2c58c46-1844-4e06-83a2-fa8c8b6c7d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7229b42c-e768-40e4-ba3d-7faf0f6c67dc}" ma:internalName="TaxCatchAll" ma:showField="CatchAllData" ma:web="b2c58c46-1844-4e06-83a2-fa8c8b6c7d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7229b42c-e768-40e4-ba3d-7faf0f6c67dc}" ma:internalName="TaxCatchAllLabel" ma:readOnly="true" ma:showField="CatchAllDataLabel" ma:web="b2c58c46-1844-4e06-83a2-fa8c8b6c7d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c58c46-1844-4e06-83a2-fa8c8b6c7d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25</Value>
      <Value>3</Value>
      <Value>2</Value>
    </TaxCatchAll>
    <Comments xmlns="http://schemas.microsoft.com/sharepoint/v3" xsi:nil="true"/>
    <_dlc_DocId xmlns="b8cb3cbd-ce5c-4a72-9da4-9013f91c5903">RTQ4ZUEHD5EN-9-5041</_dlc_DocId>
    <_dlc_DocIdUrl xmlns="b8cb3cbd-ce5c-4a72-9da4-9013f91c5903">
      <Url>http://workplaces/sites/efg/f/_layouts/DocIdRedir.aspx?ID=RTQ4ZUEHD5EN-9-5041</Url>
      <Description>RTQ4ZUEHD5EN-9-5041</Description>
    </_dlc_DocIdUrl>
    <IWPFunctionTaxHTField0 xmlns="b2c58c46-1844-4e06-83a2-fa8c8b6c7df2">
      <Terms xmlns="http://schemas.microsoft.com/office/infopath/2007/PartnerControls"/>
    </IWPFunctionTaxHTField0>
    <IWPRightsProtectiveMarkingTaxHTField0 xmlns="b2c58c46-1844-4e06-83a2-fa8c8b6c7d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b2c58c46-1844-4e06-83a2-fa8c8b6c7df2">
      <UserInfo>
        <DisplayName/>
        <AccountId xsi:nil="true"/>
        <AccountType/>
      </UserInfo>
    </IWPContributor>
    <IWPOrganisationalUnitTaxHTField0 xmlns="b2c58c46-1844-4e06-83a2-fa8c8b6c7df2">
      <Terms xmlns="http://schemas.microsoft.com/office/infopath/2007/PartnerControls">
        <TermInfo xmlns="http://schemas.microsoft.com/office/infopath/2007/PartnerControls">
          <TermName xmlns="http://schemas.microsoft.com/office/infopath/2007/PartnerControls">Infrastructure and Funding Directorate</TermName>
          <TermId xmlns="http://schemas.microsoft.com/office/infopath/2007/PartnerControls">d1466afd-0cba-416f-9e94-17a6ba5b78bb</TermId>
        </TermInfo>
      </Terms>
    </IWPOrganisationalUnitTaxHTField0>
    <IWPSubjectTaxHTField0 xmlns="b2c58c46-1844-4e06-83a2-fa8c8b6c7df2">
      <Terms xmlns="http://schemas.microsoft.com/office/infopath/2007/PartnerControls"/>
    </IWPSubjectTaxHTField0>
    <IWPOwnerTaxHTField0 xmlns="b2c58c46-1844-4e06-83a2-fa8c8b6c7d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iteTypeTaxHTField0 xmlns="b2c58c46-1844-4e06-83a2-fa8c8b6c7df2">
      <Terms xmlns="http://schemas.microsoft.com/office/infopath/2007/PartnerControls"/>
    </IWPSit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EF6FBF-E13E-45B1-B7A4-480CC7BD8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b2c58c46-1844-4e06-83a2-fa8c8b6c7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0F8DF-C09B-4885-98EA-73EEE329A7C9}">
  <ds:schemaRefs>
    <ds:schemaRef ds:uri="Microsoft.SharePoint.Taxonomy.ContentTypeSync"/>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c58c46-1844-4e06-83a2-fa8c8b6c7df2"/>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746B887E-A3DB-4D43-A3DD-F26561DA087B}">
  <ds:schemaRefs>
    <ds:schemaRef ds:uri="http://schemas.openxmlformats.org/officeDocument/2006/bibliography"/>
  </ds:schemaRefs>
</ds:datastoreItem>
</file>

<file path=customXml/itemProps7.xml><?xml version="1.0" encoding="utf-8"?>
<ds:datastoreItem xmlns:ds="http://schemas.openxmlformats.org/officeDocument/2006/customXml" ds:itemID="{5BB4903D-9F97-4A5E-AEB9-EB0DC7C2D8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2339</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Early Years Technical Annex</vt:lpstr>
    </vt:vector>
  </TitlesOfParts>
  <Company>Department for Education</Company>
  <LinksUpToDate>false</LinksUpToDate>
  <CharactersWithSpaces>15825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Technical Annex</dc:title>
  <dc:creator>Publishing.TEAM@education.gsi.gov.uk</dc:creator>
  <dc:description>Master-ET-v3.5</dc:description>
  <cp:lastModifiedBy>HAFFENDEN, George</cp:lastModifiedBy>
  <cp:revision>4</cp:revision>
  <cp:lastPrinted>2017-11-15T08:27:00Z</cp:lastPrinted>
  <dcterms:created xsi:type="dcterms:W3CDTF">2017-11-15T18:40:00Z</dcterms:created>
  <dcterms:modified xsi:type="dcterms:W3CDTF">2023-12-28T14:15:00Z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0x0101007F645D6FBA204A029FECB8BFC6578C39005279853530254253B886E13194843F8A003AA4A7828D8545A79A93568013812348008334B0BB0C5E59449CBC1BC86D76D571</vt:lpwstr>
  </property>
  <property fmtid="{D5CDD505-2E9C-101B-9397-08002B2CF9AE}" pid="4" name="IWPGroupOOB">
    <vt:lpwstr>Communications Directorate</vt:lpwstr>
  </property>
  <property fmtid="{D5CDD505-2E9C-101B-9397-08002B2CF9AE}" pid="5" name="_dlc_DocIdItemGuid">
    <vt:lpwstr>a19dad45-fc12-4c08-9f13-5cc684915573</vt:lpwstr>
  </property>
  <property fmtid="{D5CDD505-2E9C-101B-9397-08002B2CF9AE}" pid="6" name="IWPOrganisationalUnit">
    <vt:lpwstr>25;#Infrastructure and Funding Directorate|d1466afd-0cba-416f-9e94-17a6ba5b78bb</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ies>
</file>