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739"/>
        <w:gridCol w:w="556"/>
        <w:gridCol w:w="5209"/>
      </w:tblGrid>
      <w:tr w:rsidR="004A05C8" w:rsidRPr="009B55F8" w14:paraId="65127975" w14:textId="77777777" w:rsidTr="00857B56">
        <w:trPr>
          <w:trHeight w:val="1008"/>
        </w:trPr>
        <w:tc>
          <w:tcPr>
            <w:tcW w:w="2739" w:type="dxa"/>
            <w:shd w:val="clear" w:color="auto" w:fill="auto"/>
            <w:vAlign w:val="center"/>
          </w:tcPr>
          <w:p w14:paraId="17EC107A" w14:textId="77777777" w:rsidR="004A05C8" w:rsidRPr="009B55F8" w:rsidRDefault="004A05C8" w:rsidP="00857B56">
            <w:pPr>
              <w:tabs>
                <w:tab w:val="left" w:pos="2880"/>
              </w:tabs>
              <w:spacing w:before="240" w:after="240"/>
              <w:rPr>
                <w:rFonts w:ascii="Georgia" w:hAnsi="Georgia" w:cs="Arial"/>
                <w:b/>
                <w:bCs/>
              </w:rPr>
            </w:pPr>
            <w:r>
              <w:t xml:space="preserve">                                         </w:t>
            </w:r>
            <w:r w:rsidRPr="00331869">
              <w:rPr>
                <w:noProof/>
              </w:rPr>
              <w:drawing>
                <wp:inline distT="0" distB="0" distL="0" distR="0" wp14:anchorId="78F24228" wp14:editId="00E0F9C9">
                  <wp:extent cx="914400" cy="759460"/>
                  <wp:effectExtent l="0" t="0" r="0" b="0"/>
                  <wp:docPr id="1" name="Picture 1"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59460"/>
                          </a:xfrm>
                          <a:prstGeom prst="rect">
                            <a:avLst/>
                          </a:prstGeom>
                          <a:noFill/>
                          <a:ln>
                            <a:noFill/>
                          </a:ln>
                        </pic:spPr>
                      </pic:pic>
                    </a:graphicData>
                  </a:graphic>
                </wp:inline>
              </w:drawing>
            </w:r>
          </w:p>
        </w:tc>
        <w:tc>
          <w:tcPr>
            <w:tcW w:w="556" w:type="dxa"/>
            <w:shd w:val="clear" w:color="auto" w:fill="auto"/>
            <w:vAlign w:val="center"/>
          </w:tcPr>
          <w:p w14:paraId="5640D8AF" w14:textId="77777777" w:rsidR="004A05C8" w:rsidRPr="009B55F8" w:rsidRDefault="004A05C8" w:rsidP="00857B56">
            <w:pPr>
              <w:tabs>
                <w:tab w:val="left" w:pos="2880"/>
              </w:tabs>
              <w:spacing w:before="240" w:after="240"/>
              <w:rPr>
                <w:rFonts w:ascii="Georgia" w:hAnsi="Georgia" w:cs="Arial"/>
                <w:b/>
                <w:bCs/>
              </w:rPr>
            </w:pPr>
          </w:p>
        </w:tc>
        <w:tc>
          <w:tcPr>
            <w:tcW w:w="5209" w:type="dxa"/>
            <w:shd w:val="clear" w:color="auto" w:fill="auto"/>
            <w:vAlign w:val="center"/>
          </w:tcPr>
          <w:p w14:paraId="10C58C8A" w14:textId="77777777" w:rsidR="004A05C8" w:rsidRPr="009B55F8" w:rsidRDefault="004A05C8" w:rsidP="00857B56">
            <w:pPr>
              <w:pStyle w:val="Title"/>
              <w:ind w:left="3600" w:hanging="3600"/>
              <w:jc w:val="left"/>
              <w:rPr>
                <w:rFonts w:ascii="Georgia" w:hAnsi="Georgia"/>
                <w:sz w:val="24"/>
              </w:rPr>
            </w:pPr>
            <w:r w:rsidRPr="009B55F8">
              <w:rPr>
                <w:rFonts w:ascii="Georgia" w:hAnsi="Georgia"/>
                <w:sz w:val="24"/>
              </w:rPr>
              <w:t>FIRST-TIER TRIBUNAL</w:t>
            </w:r>
          </w:p>
          <w:p w14:paraId="05AD513E" w14:textId="77777777" w:rsidR="004A05C8" w:rsidRPr="009B55F8" w:rsidRDefault="004A05C8" w:rsidP="00857B56">
            <w:pPr>
              <w:tabs>
                <w:tab w:val="left" w:pos="2880"/>
              </w:tabs>
              <w:rPr>
                <w:rFonts w:ascii="Georgia" w:hAnsi="Georgia" w:cs="Arial"/>
                <w:b/>
                <w:bCs/>
              </w:rPr>
            </w:pPr>
            <w:r w:rsidRPr="009B55F8">
              <w:rPr>
                <w:rFonts w:ascii="Georgia" w:hAnsi="Georgia"/>
                <w:b/>
              </w:rPr>
              <w:t>PROPERTY CHAMBER (RESIDENTIAL PROPERTY)</w:t>
            </w:r>
          </w:p>
        </w:tc>
      </w:tr>
      <w:tr w:rsidR="004A05C8" w:rsidRPr="009B55F8" w14:paraId="6CAD07E9" w14:textId="77777777" w:rsidTr="00857B56">
        <w:tc>
          <w:tcPr>
            <w:tcW w:w="2739" w:type="dxa"/>
            <w:shd w:val="clear" w:color="auto" w:fill="auto"/>
            <w:vAlign w:val="center"/>
          </w:tcPr>
          <w:p w14:paraId="10CA77B7" w14:textId="77777777" w:rsidR="004A05C8" w:rsidRPr="009B55F8" w:rsidRDefault="004A05C8" w:rsidP="00857B56">
            <w:pPr>
              <w:tabs>
                <w:tab w:val="left" w:pos="2880"/>
              </w:tabs>
              <w:rPr>
                <w:rFonts w:ascii="Georgia" w:hAnsi="Georgia" w:cs="Arial"/>
                <w:b/>
                <w:bCs/>
              </w:rPr>
            </w:pPr>
            <w:r>
              <w:rPr>
                <w:rFonts w:ascii="Georgia" w:hAnsi="Georgia" w:cs="Arial"/>
                <w:b/>
                <w:bCs/>
                <w:lang w:eastAsia="en-US"/>
              </w:rPr>
              <w:t>Case reference</w:t>
            </w:r>
          </w:p>
        </w:tc>
        <w:tc>
          <w:tcPr>
            <w:tcW w:w="556" w:type="dxa"/>
            <w:shd w:val="clear" w:color="auto" w:fill="auto"/>
            <w:vAlign w:val="center"/>
          </w:tcPr>
          <w:p w14:paraId="425F64C6" w14:textId="77777777" w:rsidR="004A05C8" w:rsidRPr="009B55F8" w:rsidRDefault="004A05C8" w:rsidP="00857B56">
            <w:pPr>
              <w:tabs>
                <w:tab w:val="left" w:pos="2880"/>
              </w:tabs>
              <w:spacing w:before="240" w:after="240"/>
              <w:rPr>
                <w:rFonts w:ascii="Georgia" w:hAnsi="Georgia" w:cs="Arial"/>
                <w:b/>
                <w:bCs/>
              </w:rPr>
            </w:pPr>
            <w:r>
              <w:rPr>
                <w:rFonts w:ascii="Georgia" w:hAnsi="Georgia" w:cs="Arial"/>
                <w:b/>
                <w:bCs/>
                <w:lang w:eastAsia="en-US"/>
              </w:rPr>
              <w:t>:</w:t>
            </w:r>
          </w:p>
        </w:tc>
        <w:tc>
          <w:tcPr>
            <w:tcW w:w="5209" w:type="dxa"/>
            <w:shd w:val="clear" w:color="auto" w:fill="auto"/>
            <w:vAlign w:val="center"/>
          </w:tcPr>
          <w:p w14:paraId="60A9C9BB" w14:textId="5642E963" w:rsidR="004A05C8" w:rsidRPr="009B55F8" w:rsidRDefault="004A05C8" w:rsidP="00857B56">
            <w:pPr>
              <w:tabs>
                <w:tab w:val="left" w:pos="2880"/>
              </w:tabs>
              <w:rPr>
                <w:rFonts w:ascii="Georgia" w:hAnsi="Georgia" w:cs="Arial"/>
                <w:b/>
                <w:bCs/>
              </w:rPr>
            </w:pPr>
            <w:r>
              <w:rPr>
                <w:rFonts w:ascii="Georgia" w:hAnsi="Georgia" w:cs="Arial"/>
                <w:b/>
                <w:bCs/>
                <w:lang w:eastAsia="en-US"/>
              </w:rPr>
              <w:t>LON/00</w:t>
            </w:r>
            <w:r w:rsidR="001F19A2">
              <w:rPr>
                <w:rFonts w:ascii="Georgia" w:hAnsi="Georgia" w:cs="Arial"/>
                <w:b/>
                <w:bCs/>
                <w:lang w:eastAsia="en-US"/>
              </w:rPr>
              <w:t>BE/LCP/2023/0002P</w:t>
            </w:r>
          </w:p>
        </w:tc>
      </w:tr>
      <w:tr w:rsidR="004A05C8" w:rsidRPr="009B55F8" w14:paraId="0837B84D" w14:textId="77777777" w:rsidTr="00857B56">
        <w:tc>
          <w:tcPr>
            <w:tcW w:w="2739" w:type="dxa"/>
            <w:shd w:val="clear" w:color="auto" w:fill="auto"/>
            <w:vAlign w:val="center"/>
          </w:tcPr>
          <w:p w14:paraId="451574F3" w14:textId="77777777" w:rsidR="004A05C8" w:rsidRDefault="004A05C8" w:rsidP="00857B56">
            <w:pPr>
              <w:tabs>
                <w:tab w:val="left" w:pos="2880"/>
              </w:tabs>
              <w:rPr>
                <w:rFonts w:ascii="Georgia" w:hAnsi="Georgia" w:cs="Arial"/>
                <w:b/>
                <w:bCs/>
                <w:lang w:eastAsia="en-US"/>
              </w:rPr>
            </w:pPr>
            <w:r>
              <w:rPr>
                <w:rFonts w:ascii="Georgia" w:hAnsi="Georgia" w:cs="Arial"/>
                <w:b/>
                <w:bCs/>
                <w:lang w:eastAsia="en-US"/>
              </w:rPr>
              <w:t>HMCTS code</w:t>
            </w:r>
          </w:p>
        </w:tc>
        <w:tc>
          <w:tcPr>
            <w:tcW w:w="556" w:type="dxa"/>
            <w:shd w:val="clear" w:color="auto" w:fill="auto"/>
            <w:vAlign w:val="center"/>
          </w:tcPr>
          <w:p w14:paraId="63345921" w14:textId="77777777" w:rsidR="004A05C8" w:rsidRDefault="004A05C8" w:rsidP="00857B56">
            <w:pPr>
              <w:tabs>
                <w:tab w:val="left" w:pos="2880"/>
              </w:tabs>
              <w:spacing w:before="240" w:after="240"/>
              <w:rPr>
                <w:rFonts w:ascii="Georgia" w:hAnsi="Georgia" w:cs="Arial"/>
                <w:b/>
                <w:bCs/>
                <w:lang w:eastAsia="en-US"/>
              </w:rPr>
            </w:pPr>
            <w:r>
              <w:rPr>
                <w:rFonts w:ascii="Georgia" w:hAnsi="Georgia" w:cs="Arial"/>
                <w:b/>
                <w:bCs/>
                <w:lang w:eastAsia="en-US"/>
              </w:rPr>
              <w:t>:</w:t>
            </w:r>
          </w:p>
        </w:tc>
        <w:tc>
          <w:tcPr>
            <w:tcW w:w="5209" w:type="dxa"/>
            <w:shd w:val="clear" w:color="auto" w:fill="auto"/>
            <w:vAlign w:val="center"/>
          </w:tcPr>
          <w:p w14:paraId="6A4C326F" w14:textId="24D68F44" w:rsidR="004A05C8" w:rsidRDefault="001F19A2" w:rsidP="00857B56">
            <w:pPr>
              <w:tabs>
                <w:tab w:val="left" w:pos="2880"/>
              </w:tabs>
              <w:rPr>
                <w:rFonts w:ascii="Georgia" w:hAnsi="Georgia" w:cs="Arial"/>
                <w:b/>
                <w:bCs/>
                <w:lang w:eastAsia="en-US"/>
              </w:rPr>
            </w:pPr>
            <w:proofErr w:type="gramStart"/>
            <w:r>
              <w:rPr>
                <w:rFonts w:ascii="Georgia" w:hAnsi="Georgia" w:cs="Arial"/>
                <w:b/>
                <w:bCs/>
                <w:lang w:eastAsia="en-US"/>
              </w:rPr>
              <w:t>P:PAPER</w:t>
            </w:r>
            <w:proofErr w:type="gramEnd"/>
          </w:p>
        </w:tc>
      </w:tr>
      <w:tr w:rsidR="004A05C8" w:rsidRPr="001F19A2" w14:paraId="47E97449" w14:textId="77777777" w:rsidTr="00857B56">
        <w:tc>
          <w:tcPr>
            <w:tcW w:w="2739" w:type="dxa"/>
            <w:shd w:val="clear" w:color="auto" w:fill="auto"/>
            <w:vAlign w:val="center"/>
          </w:tcPr>
          <w:p w14:paraId="5CA60BA2" w14:textId="77777777" w:rsidR="004A05C8" w:rsidRPr="009B55F8" w:rsidRDefault="004A05C8" w:rsidP="00857B56">
            <w:pPr>
              <w:tabs>
                <w:tab w:val="left" w:pos="2880"/>
              </w:tabs>
              <w:rPr>
                <w:rFonts w:ascii="Georgia" w:hAnsi="Georgia" w:cs="Arial"/>
                <w:b/>
                <w:bCs/>
              </w:rPr>
            </w:pPr>
            <w:r>
              <w:rPr>
                <w:rFonts w:ascii="Georgia" w:hAnsi="Georgia" w:cs="Arial"/>
                <w:b/>
                <w:bCs/>
                <w:lang w:eastAsia="en-US"/>
              </w:rPr>
              <w:t>Property</w:t>
            </w:r>
          </w:p>
        </w:tc>
        <w:tc>
          <w:tcPr>
            <w:tcW w:w="556" w:type="dxa"/>
            <w:shd w:val="clear" w:color="auto" w:fill="auto"/>
            <w:vAlign w:val="center"/>
          </w:tcPr>
          <w:p w14:paraId="69191F64" w14:textId="77777777" w:rsidR="004A05C8" w:rsidRPr="009B55F8" w:rsidRDefault="004A05C8" w:rsidP="00857B56">
            <w:pPr>
              <w:tabs>
                <w:tab w:val="left" w:pos="2880"/>
              </w:tabs>
              <w:spacing w:before="240" w:after="240"/>
              <w:rPr>
                <w:rFonts w:ascii="Georgia" w:hAnsi="Georgia" w:cs="Arial"/>
                <w:b/>
                <w:bCs/>
              </w:rPr>
            </w:pPr>
            <w:r>
              <w:rPr>
                <w:rFonts w:ascii="Georgia" w:hAnsi="Georgia" w:cs="Arial"/>
                <w:b/>
                <w:bCs/>
                <w:lang w:eastAsia="en-US"/>
              </w:rPr>
              <w:t>:</w:t>
            </w:r>
          </w:p>
        </w:tc>
        <w:tc>
          <w:tcPr>
            <w:tcW w:w="5209" w:type="dxa"/>
            <w:shd w:val="clear" w:color="auto" w:fill="auto"/>
            <w:vAlign w:val="center"/>
          </w:tcPr>
          <w:p w14:paraId="03D61B7E" w14:textId="3040F824" w:rsidR="004A05C8" w:rsidRPr="001F19A2" w:rsidRDefault="001F19A2" w:rsidP="00857B56">
            <w:pPr>
              <w:tabs>
                <w:tab w:val="left" w:pos="2880"/>
              </w:tabs>
              <w:rPr>
                <w:rFonts w:ascii="Georgia" w:hAnsi="Georgia" w:cs="Arial"/>
                <w:b/>
                <w:bCs/>
              </w:rPr>
            </w:pPr>
            <w:r w:rsidRPr="001F19A2">
              <w:rPr>
                <w:rFonts w:ascii="Georgia" w:hAnsi="Georgia" w:cs="Arial"/>
                <w:b/>
                <w:bCs/>
              </w:rPr>
              <w:t>1 Camberwell Station Road, London SE</w:t>
            </w:r>
            <w:r>
              <w:rPr>
                <w:rFonts w:ascii="Georgia" w:hAnsi="Georgia" w:cs="Arial"/>
                <w:b/>
                <w:bCs/>
              </w:rPr>
              <w:t>5 9JJ</w:t>
            </w:r>
          </w:p>
        </w:tc>
      </w:tr>
      <w:tr w:rsidR="004A05C8" w:rsidRPr="009B55F8" w14:paraId="6FA8EFE9" w14:textId="77777777" w:rsidTr="00857B56">
        <w:tc>
          <w:tcPr>
            <w:tcW w:w="2739" w:type="dxa"/>
            <w:shd w:val="clear" w:color="auto" w:fill="auto"/>
            <w:vAlign w:val="center"/>
          </w:tcPr>
          <w:p w14:paraId="621EE13F" w14:textId="77777777" w:rsidR="004A05C8" w:rsidRPr="009B55F8" w:rsidRDefault="004A05C8" w:rsidP="00857B56">
            <w:pPr>
              <w:tabs>
                <w:tab w:val="left" w:pos="2880"/>
              </w:tabs>
              <w:rPr>
                <w:rFonts w:ascii="Georgia" w:hAnsi="Georgia" w:cs="Arial"/>
                <w:b/>
                <w:bCs/>
              </w:rPr>
            </w:pPr>
            <w:r>
              <w:rPr>
                <w:rFonts w:ascii="Georgia" w:hAnsi="Georgia" w:cs="Arial"/>
                <w:b/>
                <w:bCs/>
                <w:lang w:eastAsia="en-US"/>
              </w:rPr>
              <w:t>Applicant</w:t>
            </w:r>
          </w:p>
        </w:tc>
        <w:tc>
          <w:tcPr>
            <w:tcW w:w="556" w:type="dxa"/>
            <w:shd w:val="clear" w:color="auto" w:fill="auto"/>
            <w:vAlign w:val="center"/>
          </w:tcPr>
          <w:p w14:paraId="55B407BA" w14:textId="77777777" w:rsidR="004A05C8" w:rsidRPr="009B55F8" w:rsidRDefault="004A05C8" w:rsidP="00857B56">
            <w:pPr>
              <w:tabs>
                <w:tab w:val="left" w:pos="2880"/>
              </w:tabs>
              <w:spacing w:before="240" w:after="240"/>
              <w:rPr>
                <w:rFonts w:ascii="Georgia" w:hAnsi="Georgia" w:cs="Arial"/>
                <w:b/>
                <w:bCs/>
              </w:rPr>
            </w:pPr>
            <w:r>
              <w:rPr>
                <w:rFonts w:ascii="Georgia" w:hAnsi="Georgia" w:cs="Arial"/>
                <w:b/>
                <w:bCs/>
                <w:lang w:eastAsia="en-US"/>
              </w:rPr>
              <w:t>:</w:t>
            </w:r>
          </w:p>
        </w:tc>
        <w:tc>
          <w:tcPr>
            <w:tcW w:w="5209" w:type="dxa"/>
            <w:shd w:val="clear" w:color="auto" w:fill="auto"/>
            <w:vAlign w:val="center"/>
          </w:tcPr>
          <w:p w14:paraId="76993C3D" w14:textId="77777777" w:rsidR="004A05C8" w:rsidRPr="009B55F8" w:rsidRDefault="004A05C8" w:rsidP="00857B56">
            <w:pPr>
              <w:tabs>
                <w:tab w:val="left" w:pos="2880"/>
              </w:tabs>
              <w:rPr>
                <w:rFonts w:ascii="Georgia" w:hAnsi="Georgia" w:cs="Arial"/>
                <w:b/>
                <w:bCs/>
              </w:rPr>
            </w:pPr>
            <w:proofErr w:type="spellStart"/>
            <w:r>
              <w:rPr>
                <w:rFonts w:ascii="Georgia" w:hAnsi="Georgia" w:cs="Arial"/>
                <w:b/>
                <w:bCs/>
                <w:lang w:eastAsia="en-US"/>
              </w:rPr>
              <w:t>Assethold</w:t>
            </w:r>
            <w:proofErr w:type="spellEnd"/>
            <w:r>
              <w:rPr>
                <w:rFonts w:ascii="Georgia" w:hAnsi="Georgia" w:cs="Arial"/>
                <w:b/>
                <w:bCs/>
                <w:lang w:eastAsia="en-US"/>
              </w:rPr>
              <w:t xml:space="preserve"> Ltd</w:t>
            </w:r>
          </w:p>
        </w:tc>
      </w:tr>
      <w:tr w:rsidR="004A05C8" w:rsidRPr="009B55F8" w14:paraId="7DE3A380" w14:textId="77777777" w:rsidTr="00857B56">
        <w:tc>
          <w:tcPr>
            <w:tcW w:w="2739" w:type="dxa"/>
            <w:shd w:val="clear" w:color="auto" w:fill="auto"/>
            <w:vAlign w:val="center"/>
          </w:tcPr>
          <w:p w14:paraId="3F08B24F" w14:textId="77777777" w:rsidR="004A05C8" w:rsidRPr="009B55F8" w:rsidRDefault="004A05C8" w:rsidP="00857B56">
            <w:pPr>
              <w:tabs>
                <w:tab w:val="left" w:pos="2880"/>
              </w:tabs>
              <w:rPr>
                <w:rFonts w:ascii="Georgia" w:hAnsi="Georgia" w:cs="Arial"/>
                <w:b/>
                <w:bCs/>
              </w:rPr>
            </w:pPr>
            <w:r>
              <w:rPr>
                <w:rFonts w:ascii="Georgia" w:hAnsi="Georgia" w:cs="Arial"/>
                <w:b/>
                <w:bCs/>
                <w:lang w:eastAsia="en-US"/>
              </w:rPr>
              <w:t>Representative</w:t>
            </w:r>
          </w:p>
        </w:tc>
        <w:tc>
          <w:tcPr>
            <w:tcW w:w="556" w:type="dxa"/>
            <w:shd w:val="clear" w:color="auto" w:fill="auto"/>
            <w:vAlign w:val="center"/>
          </w:tcPr>
          <w:p w14:paraId="4BAD537F" w14:textId="77777777" w:rsidR="004A05C8" w:rsidRPr="009B55F8" w:rsidRDefault="004A05C8" w:rsidP="00857B56">
            <w:pPr>
              <w:tabs>
                <w:tab w:val="left" w:pos="2880"/>
              </w:tabs>
              <w:spacing w:before="240" w:after="240"/>
              <w:rPr>
                <w:rFonts w:ascii="Georgia" w:hAnsi="Georgia" w:cs="Arial"/>
                <w:b/>
                <w:bCs/>
              </w:rPr>
            </w:pPr>
            <w:r>
              <w:rPr>
                <w:rFonts w:ascii="Georgia" w:hAnsi="Georgia" w:cs="Arial"/>
                <w:b/>
                <w:bCs/>
                <w:lang w:eastAsia="en-US"/>
              </w:rPr>
              <w:t>:</w:t>
            </w:r>
          </w:p>
        </w:tc>
        <w:tc>
          <w:tcPr>
            <w:tcW w:w="5209" w:type="dxa"/>
            <w:shd w:val="clear" w:color="auto" w:fill="auto"/>
            <w:vAlign w:val="center"/>
          </w:tcPr>
          <w:p w14:paraId="5368FDF6" w14:textId="77777777" w:rsidR="004A05C8" w:rsidRPr="009B55F8" w:rsidRDefault="004A05C8" w:rsidP="00857B56">
            <w:pPr>
              <w:tabs>
                <w:tab w:val="left" w:pos="2880"/>
              </w:tabs>
              <w:spacing w:line="256" w:lineRule="auto"/>
              <w:rPr>
                <w:rFonts w:ascii="Georgia" w:hAnsi="Georgia" w:cs="Arial"/>
                <w:b/>
                <w:bCs/>
                <w:lang w:eastAsia="en-US"/>
              </w:rPr>
            </w:pPr>
            <w:r>
              <w:rPr>
                <w:rFonts w:ascii="Georgia" w:hAnsi="Georgia" w:cs="Arial"/>
                <w:b/>
                <w:bCs/>
                <w:lang w:eastAsia="en-US"/>
              </w:rPr>
              <w:t>Scott Cohen Solicitors Limited.</w:t>
            </w:r>
          </w:p>
        </w:tc>
      </w:tr>
      <w:tr w:rsidR="004A05C8" w:rsidRPr="009B55F8" w14:paraId="15F144FD" w14:textId="77777777" w:rsidTr="00857B56">
        <w:tc>
          <w:tcPr>
            <w:tcW w:w="2739" w:type="dxa"/>
            <w:shd w:val="clear" w:color="auto" w:fill="auto"/>
            <w:vAlign w:val="center"/>
          </w:tcPr>
          <w:p w14:paraId="21045D3D" w14:textId="77777777" w:rsidR="004A05C8" w:rsidRPr="009B55F8" w:rsidRDefault="004A05C8" w:rsidP="00857B56">
            <w:pPr>
              <w:tabs>
                <w:tab w:val="left" w:pos="2880"/>
              </w:tabs>
              <w:rPr>
                <w:rFonts w:ascii="Georgia" w:hAnsi="Georgia" w:cs="Arial"/>
                <w:b/>
                <w:bCs/>
              </w:rPr>
            </w:pPr>
            <w:r>
              <w:rPr>
                <w:rFonts w:ascii="Georgia" w:hAnsi="Georgia" w:cs="Arial"/>
                <w:b/>
                <w:bCs/>
                <w:lang w:eastAsia="en-US"/>
              </w:rPr>
              <w:t>Respondent</w:t>
            </w:r>
          </w:p>
        </w:tc>
        <w:tc>
          <w:tcPr>
            <w:tcW w:w="556" w:type="dxa"/>
            <w:shd w:val="clear" w:color="auto" w:fill="auto"/>
            <w:vAlign w:val="center"/>
          </w:tcPr>
          <w:p w14:paraId="3F79AAD4" w14:textId="77777777" w:rsidR="004A05C8" w:rsidRPr="009B55F8" w:rsidRDefault="004A05C8" w:rsidP="00857B56">
            <w:pPr>
              <w:tabs>
                <w:tab w:val="left" w:pos="2880"/>
              </w:tabs>
              <w:spacing w:before="240" w:after="240"/>
              <w:rPr>
                <w:rFonts w:ascii="Georgia" w:hAnsi="Georgia" w:cs="Arial"/>
                <w:b/>
                <w:bCs/>
              </w:rPr>
            </w:pPr>
            <w:r>
              <w:rPr>
                <w:rFonts w:ascii="Georgia" w:hAnsi="Georgia" w:cs="Arial"/>
                <w:b/>
                <w:bCs/>
                <w:lang w:eastAsia="en-US"/>
              </w:rPr>
              <w:t>:</w:t>
            </w:r>
          </w:p>
        </w:tc>
        <w:tc>
          <w:tcPr>
            <w:tcW w:w="5209" w:type="dxa"/>
            <w:shd w:val="clear" w:color="auto" w:fill="auto"/>
            <w:vAlign w:val="center"/>
          </w:tcPr>
          <w:p w14:paraId="399B4D4D" w14:textId="3D880193" w:rsidR="004A05C8" w:rsidRPr="009B55F8" w:rsidRDefault="001F19A2" w:rsidP="00857B56">
            <w:pPr>
              <w:tabs>
                <w:tab w:val="left" w:pos="2880"/>
              </w:tabs>
              <w:rPr>
                <w:rFonts w:ascii="Georgia" w:hAnsi="Georgia" w:cs="Arial"/>
                <w:b/>
                <w:bCs/>
              </w:rPr>
            </w:pPr>
            <w:r>
              <w:rPr>
                <w:rFonts w:ascii="Georgia" w:hAnsi="Georgia" w:cs="Arial"/>
                <w:b/>
                <w:bCs/>
                <w:lang w:eastAsia="en-US"/>
              </w:rPr>
              <w:t xml:space="preserve">1 Camberwell Station Road (London) </w:t>
            </w:r>
            <w:r w:rsidR="004A05C8">
              <w:rPr>
                <w:rFonts w:ascii="Georgia" w:hAnsi="Georgia" w:cs="Arial"/>
                <w:b/>
                <w:bCs/>
                <w:lang w:eastAsia="en-US"/>
              </w:rPr>
              <w:t>RTM Company Limited</w:t>
            </w:r>
          </w:p>
        </w:tc>
      </w:tr>
      <w:tr w:rsidR="004A05C8" w:rsidRPr="009B55F8" w14:paraId="6CED3D2B" w14:textId="77777777" w:rsidTr="00857B56">
        <w:tc>
          <w:tcPr>
            <w:tcW w:w="2739" w:type="dxa"/>
            <w:shd w:val="clear" w:color="auto" w:fill="auto"/>
            <w:vAlign w:val="center"/>
          </w:tcPr>
          <w:p w14:paraId="63F0525C" w14:textId="77777777" w:rsidR="004A05C8" w:rsidRPr="009B55F8" w:rsidRDefault="004A05C8" w:rsidP="00857B56">
            <w:pPr>
              <w:tabs>
                <w:tab w:val="left" w:pos="2880"/>
              </w:tabs>
              <w:rPr>
                <w:rFonts w:ascii="Georgia" w:hAnsi="Georgia" w:cs="Arial"/>
                <w:b/>
                <w:bCs/>
              </w:rPr>
            </w:pPr>
            <w:r>
              <w:rPr>
                <w:rFonts w:ascii="Georgia" w:hAnsi="Georgia" w:cs="Arial"/>
                <w:b/>
                <w:bCs/>
                <w:lang w:eastAsia="en-US"/>
              </w:rPr>
              <w:t>Representative</w:t>
            </w:r>
          </w:p>
        </w:tc>
        <w:tc>
          <w:tcPr>
            <w:tcW w:w="556" w:type="dxa"/>
            <w:shd w:val="clear" w:color="auto" w:fill="auto"/>
            <w:vAlign w:val="center"/>
          </w:tcPr>
          <w:p w14:paraId="159472F5" w14:textId="77777777" w:rsidR="004A05C8" w:rsidRPr="009B55F8" w:rsidRDefault="004A05C8" w:rsidP="00857B56">
            <w:pPr>
              <w:tabs>
                <w:tab w:val="left" w:pos="2880"/>
              </w:tabs>
              <w:spacing w:before="240" w:after="240"/>
              <w:rPr>
                <w:rFonts w:ascii="Georgia" w:hAnsi="Georgia" w:cs="Arial"/>
                <w:b/>
                <w:bCs/>
              </w:rPr>
            </w:pPr>
            <w:r>
              <w:rPr>
                <w:rFonts w:ascii="Georgia" w:hAnsi="Georgia" w:cs="Arial"/>
                <w:b/>
                <w:bCs/>
                <w:lang w:eastAsia="en-US"/>
              </w:rPr>
              <w:t>:</w:t>
            </w:r>
          </w:p>
        </w:tc>
        <w:tc>
          <w:tcPr>
            <w:tcW w:w="5209" w:type="dxa"/>
            <w:shd w:val="clear" w:color="auto" w:fill="auto"/>
            <w:vAlign w:val="center"/>
          </w:tcPr>
          <w:p w14:paraId="7B0AEB2E" w14:textId="70546636" w:rsidR="004A05C8" w:rsidRPr="009B55F8" w:rsidRDefault="00E914CF" w:rsidP="00857B56">
            <w:pPr>
              <w:tabs>
                <w:tab w:val="left" w:pos="2880"/>
              </w:tabs>
              <w:spacing w:line="256" w:lineRule="auto"/>
              <w:rPr>
                <w:rFonts w:ascii="Georgia" w:hAnsi="Georgia" w:cs="Arial"/>
                <w:b/>
                <w:bCs/>
              </w:rPr>
            </w:pPr>
            <w:r>
              <w:rPr>
                <w:rFonts w:ascii="Georgia" w:hAnsi="Georgia" w:cs="Arial"/>
                <w:b/>
                <w:bCs/>
              </w:rPr>
              <w:t>None stated</w:t>
            </w:r>
          </w:p>
        </w:tc>
      </w:tr>
      <w:tr w:rsidR="004A05C8" w:rsidRPr="009B55F8" w14:paraId="03A2E9A0" w14:textId="77777777" w:rsidTr="00857B56">
        <w:tc>
          <w:tcPr>
            <w:tcW w:w="2739" w:type="dxa"/>
            <w:shd w:val="clear" w:color="auto" w:fill="auto"/>
            <w:vAlign w:val="center"/>
          </w:tcPr>
          <w:p w14:paraId="64508564" w14:textId="77777777" w:rsidR="004A05C8" w:rsidRPr="009B55F8" w:rsidRDefault="004A05C8" w:rsidP="00857B56">
            <w:pPr>
              <w:tabs>
                <w:tab w:val="left" w:pos="2880"/>
              </w:tabs>
              <w:rPr>
                <w:rFonts w:ascii="Georgia" w:hAnsi="Georgia" w:cs="Arial"/>
                <w:b/>
                <w:bCs/>
              </w:rPr>
            </w:pPr>
            <w:r w:rsidRPr="009B55F8">
              <w:rPr>
                <w:rFonts w:ascii="Georgia" w:hAnsi="Georgia" w:cs="Arial"/>
                <w:b/>
                <w:bCs/>
              </w:rPr>
              <w:t>Type of application</w:t>
            </w:r>
          </w:p>
        </w:tc>
        <w:tc>
          <w:tcPr>
            <w:tcW w:w="556" w:type="dxa"/>
            <w:shd w:val="clear" w:color="auto" w:fill="auto"/>
            <w:vAlign w:val="center"/>
          </w:tcPr>
          <w:p w14:paraId="001A4764" w14:textId="77777777" w:rsidR="004A05C8" w:rsidRPr="009B55F8" w:rsidRDefault="004A05C8" w:rsidP="00857B56">
            <w:pPr>
              <w:tabs>
                <w:tab w:val="left" w:pos="2880"/>
              </w:tabs>
              <w:spacing w:before="240" w:after="240"/>
              <w:rPr>
                <w:rFonts w:ascii="Georgia" w:hAnsi="Georgia" w:cs="Arial"/>
                <w:b/>
                <w:bCs/>
              </w:rPr>
            </w:pPr>
            <w:r w:rsidRPr="009B55F8">
              <w:rPr>
                <w:rFonts w:ascii="Georgia" w:hAnsi="Georgia" w:cs="Arial"/>
                <w:b/>
                <w:bCs/>
              </w:rPr>
              <w:t>:</w:t>
            </w:r>
          </w:p>
        </w:tc>
        <w:tc>
          <w:tcPr>
            <w:tcW w:w="5209" w:type="dxa"/>
            <w:shd w:val="clear" w:color="auto" w:fill="auto"/>
            <w:vAlign w:val="center"/>
          </w:tcPr>
          <w:p w14:paraId="0B3176B0" w14:textId="77777777" w:rsidR="004A05C8" w:rsidRPr="009B55F8" w:rsidRDefault="004A05C8" w:rsidP="00857B56">
            <w:pPr>
              <w:tabs>
                <w:tab w:val="left" w:pos="2880"/>
              </w:tabs>
              <w:spacing w:before="120" w:after="120"/>
              <w:rPr>
                <w:rFonts w:ascii="Georgia" w:hAnsi="Georgia" w:cs="Arial"/>
                <w:b/>
                <w:bCs/>
              </w:rPr>
            </w:pPr>
            <w:r w:rsidRPr="000A2B16">
              <w:rPr>
                <w:rFonts w:ascii="Georgia" w:hAnsi="Georgia" w:cs="Arial"/>
                <w:b/>
                <w:bCs/>
              </w:rPr>
              <w:t xml:space="preserve">Costs </w:t>
            </w:r>
            <w:r>
              <w:rPr>
                <w:rFonts w:ascii="Georgia" w:hAnsi="Georgia" w:cs="Arial"/>
                <w:b/>
                <w:bCs/>
              </w:rPr>
              <w:t>–</w:t>
            </w:r>
            <w:r w:rsidRPr="000A2B16">
              <w:rPr>
                <w:rFonts w:ascii="Georgia" w:hAnsi="Georgia" w:cs="Arial"/>
                <w:b/>
                <w:bCs/>
              </w:rPr>
              <w:t xml:space="preserve"> </w:t>
            </w:r>
            <w:r>
              <w:rPr>
                <w:rFonts w:ascii="Georgia" w:hAnsi="Georgia" w:cs="Arial"/>
                <w:b/>
                <w:bCs/>
              </w:rPr>
              <w:t>payable by an RTM company under s.88(4) Commonhold and Leasehold Reform Act 2002</w:t>
            </w:r>
          </w:p>
        </w:tc>
      </w:tr>
      <w:tr w:rsidR="004A05C8" w:rsidRPr="009B55F8" w14:paraId="2096572F" w14:textId="77777777" w:rsidTr="00857B56">
        <w:tc>
          <w:tcPr>
            <w:tcW w:w="2739" w:type="dxa"/>
            <w:shd w:val="clear" w:color="auto" w:fill="auto"/>
            <w:vAlign w:val="center"/>
          </w:tcPr>
          <w:p w14:paraId="1BE95D02" w14:textId="75C31DF6" w:rsidR="004A05C8" w:rsidRPr="009B55F8" w:rsidRDefault="004A05C8" w:rsidP="00857B56">
            <w:pPr>
              <w:tabs>
                <w:tab w:val="left" w:pos="2880"/>
              </w:tabs>
              <w:rPr>
                <w:rFonts w:ascii="Georgia" w:hAnsi="Georgia" w:cs="Arial"/>
                <w:b/>
                <w:bCs/>
              </w:rPr>
            </w:pPr>
            <w:r>
              <w:rPr>
                <w:rFonts w:ascii="Georgia" w:hAnsi="Georgia" w:cs="Arial"/>
                <w:b/>
                <w:bCs/>
              </w:rPr>
              <w:t>Tribunal member</w:t>
            </w:r>
          </w:p>
        </w:tc>
        <w:tc>
          <w:tcPr>
            <w:tcW w:w="556" w:type="dxa"/>
            <w:shd w:val="clear" w:color="auto" w:fill="auto"/>
            <w:vAlign w:val="center"/>
          </w:tcPr>
          <w:p w14:paraId="62A1E1A8" w14:textId="77777777" w:rsidR="004A05C8" w:rsidRPr="009B55F8" w:rsidRDefault="004A05C8" w:rsidP="00857B56">
            <w:pPr>
              <w:tabs>
                <w:tab w:val="left" w:pos="2880"/>
              </w:tabs>
              <w:spacing w:before="240" w:after="240"/>
              <w:rPr>
                <w:rFonts w:ascii="Georgia" w:hAnsi="Georgia" w:cs="Arial"/>
                <w:b/>
                <w:bCs/>
              </w:rPr>
            </w:pPr>
            <w:r>
              <w:rPr>
                <w:rFonts w:ascii="Georgia" w:hAnsi="Georgia" w:cs="Arial"/>
                <w:b/>
                <w:bCs/>
              </w:rPr>
              <w:t>:</w:t>
            </w:r>
          </w:p>
        </w:tc>
        <w:tc>
          <w:tcPr>
            <w:tcW w:w="5209" w:type="dxa"/>
            <w:shd w:val="clear" w:color="auto" w:fill="auto"/>
            <w:vAlign w:val="center"/>
          </w:tcPr>
          <w:p w14:paraId="713886C0" w14:textId="2054F18B" w:rsidR="004A05C8" w:rsidRPr="000A2B16" w:rsidRDefault="004A05C8" w:rsidP="001F19A2">
            <w:pPr>
              <w:tabs>
                <w:tab w:val="left" w:pos="2880"/>
              </w:tabs>
              <w:spacing w:before="120" w:after="120"/>
              <w:rPr>
                <w:rFonts w:ascii="Georgia" w:hAnsi="Georgia" w:cs="Arial"/>
                <w:b/>
                <w:bCs/>
              </w:rPr>
            </w:pPr>
            <w:r>
              <w:rPr>
                <w:rFonts w:ascii="Georgia" w:hAnsi="Georgia" w:cs="Arial"/>
                <w:b/>
                <w:bCs/>
              </w:rPr>
              <w:t>Judge Pittaway</w:t>
            </w:r>
          </w:p>
        </w:tc>
      </w:tr>
      <w:tr w:rsidR="004A05C8" w:rsidRPr="009B55F8" w14:paraId="194199B8" w14:textId="77777777" w:rsidTr="00857B56">
        <w:tc>
          <w:tcPr>
            <w:tcW w:w="2739" w:type="dxa"/>
            <w:shd w:val="clear" w:color="auto" w:fill="auto"/>
            <w:vAlign w:val="center"/>
          </w:tcPr>
          <w:p w14:paraId="36E0F931" w14:textId="77777777" w:rsidR="004A05C8" w:rsidRDefault="004A05C8" w:rsidP="00857B56">
            <w:pPr>
              <w:tabs>
                <w:tab w:val="left" w:pos="2880"/>
              </w:tabs>
              <w:rPr>
                <w:rFonts w:ascii="Georgia" w:hAnsi="Georgia" w:cs="Arial"/>
                <w:b/>
                <w:bCs/>
              </w:rPr>
            </w:pPr>
            <w:r>
              <w:rPr>
                <w:rFonts w:ascii="Georgia" w:hAnsi="Georgia" w:cs="Arial"/>
                <w:b/>
                <w:bCs/>
              </w:rPr>
              <w:t>Date of decision</w:t>
            </w:r>
          </w:p>
        </w:tc>
        <w:tc>
          <w:tcPr>
            <w:tcW w:w="556" w:type="dxa"/>
            <w:shd w:val="clear" w:color="auto" w:fill="auto"/>
            <w:vAlign w:val="center"/>
          </w:tcPr>
          <w:p w14:paraId="6FC4AE2B" w14:textId="77777777" w:rsidR="004A05C8" w:rsidRDefault="004A05C8" w:rsidP="00857B56">
            <w:pPr>
              <w:tabs>
                <w:tab w:val="left" w:pos="2880"/>
              </w:tabs>
              <w:spacing w:before="240" w:after="240"/>
              <w:rPr>
                <w:rFonts w:ascii="Georgia" w:hAnsi="Georgia" w:cs="Arial"/>
                <w:b/>
                <w:bCs/>
              </w:rPr>
            </w:pPr>
            <w:r>
              <w:rPr>
                <w:rFonts w:ascii="Georgia" w:hAnsi="Georgia" w:cs="Arial"/>
                <w:b/>
                <w:bCs/>
              </w:rPr>
              <w:t>:</w:t>
            </w:r>
          </w:p>
        </w:tc>
        <w:tc>
          <w:tcPr>
            <w:tcW w:w="5209" w:type="dxa"/>
            <w:shd w:val="clear" w:color="auto" w:fill="auto"/>
            <w:vAlign w:val="center"/>
          </w:tcPr>
          <w:p w14:paraId="675A9637" w14:textId="2603BE4B" w:rsidR="004A05C8" w:rsidRDefault="00203572" w:rsidP="00857B56">
            <w:pPr>
              <w:tabs>
                <w:tab w:val="left" w:pos="2880"/>
              </w:tabs>
              <w:spacing w:before="120" w:after="120"/>
              <w:rPr>
                <w:rFonts w:ascii="Georgia" w:hAnsi="Georgia" w:cs="Arial"/>
                <w:b/>
                <w:bCs/>
              </w:rPr>
            </w:pPr>
            <w:r>
              <w:rPr>
                <w:rFonts w:ascii="Georgia" w:hAnsi="Georgia" w:cs="Arial"/>
                <w:b/>
                <w:bCs/>
              </w:rPr>
              <w:t>10 August 2023</w:t>
            </w:r>
          </w:p>
        </w:tc>
      </w:tr>
    </w:tbl>
    <w:p w14:paraId="04B2E43D" w14:textId="77777777" w:rsidR="004A05C8" w:rsidRPr="005D7A4E" w:rsidRDefault="004A05C8" w:rsidP="004A05C8">
      <w:pPr>
        <w:tabs>
          <w:tab w:val="left" w:pos="2880"/>
        </w:tabs>
        <w:rPr>
          <w:rFonts w:ascii="Georgia" w:hAnsi="Georgi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4A05C8" w:rsidRPr="009B55F8" w14:paraId="4E12DC55" w14:textId="77777777" w:rsidTr="00857B56">
        <w:trPr>
          <w:trHeight w:val="810"/>
        </w:trPr>
        <w:tc>
          <w:tcPr>
            <w:tcW w:w="8528" w:type="dxa"/>
            <w:tcBorders>
              <w:left w:val="nil"/>
              <w:right w:val="nil"/>
            </w:tcBorders>
            <w:shd w:val="clear" w:color="auto" w:fill="auto"/>
            <w:vAlign w:val="center"/>
          </w:tcPr>
          <w:p w14:paraId="5DEABB12" w14:textId="77777777" w:rsidR="004A05C8" w:rsidRPr="00E03E6D" w:rsidRDefault="004A05C8" w:rsidP="00857B56">
            <w:pPr>
              <w:tabs>
                <w:tab w:val="left" w:pos="2880"/>
              </w:tabs>
              <w:jc w:val="center"/>
              <w:rPr>
                <w:rFonts w:ascii="Georgia" w:hAnsi="Georgia" w:cs="Arial"/>
                <w:bCs/>
                <w:i/>
              </w:rPr>
            </w:pPr>
            <w:r>
              <w:rPr>
                <w:rFonts w:ascii="Georgia" w:hAnsi="Georgia" w:cs="Arial"/>
                <w:b/>
                <w:bCs/>
              </w:rPr>
              <w:t>DECISION</w:t>
            </w:r>
          </w:p>
          <w:p w14:paraId="11178340" w14:textId="77777777" w:rsidR="004A05C8" w:rsidRPr="009B55F8" w:rsidRDefault="004A05C8" w:rsidP="00857B56">
            <w:pPr>
              <w:tabs>
                <w:tab w:val="left" w:pos="2880"/>
              </w:tabs>
              <w:jc w:val="center"/>
              <w:rPr>
                <w:rFonts w:ascii="Georgia" w:hAnsi="Georgia" w:cs="Arial"/>
                <w:b/>
                <w:bCs/>
              </w:rPr>
            </w:pPr>
          </w:p>
        </w:tc>
      </w:tr>
    </w:tbl>
    <w:p w14:paraId="449B778E" w14:textId="77777777" w:rsidR="004A05C8" w:rsidRDefault="004A05C8" w:rsidP="004A05C8">
      <w:pPr>
        <w:pStyle w:val="Footer"/>
        <w:rPr>
          <w:rFonts w:ascii="Georgia" w:hAnsi="Georgia" w:cs="Arial"/>
        </w:rPr>
      </w:pPr>
    </w:p>
    <w:p w14:paraId="1B4651CA" w14:textId="77777777" w:rsidR="004A05C8" w:rsidRPr="00935D06" w:rsidRDefault="004A05C8" w:rsidP="004A05C8">
      <w:pPr>
        <w:jc w:val="both"/>
        <w:rPr>
          <w:rFonts w:ascii="Georgia" w:hAnsi="Georgia" w:cs="Arial"/>
        </w:rPr>
      </w:pPr>
    </w:p>
    <w:p w14:paraId="73BC65A2" w14:textId="77777777" w:rsidR="004A05C8" w:rsidRDefault="004A05C8" w:rsidP="004A05C8">
      <w:pPr>
        <w:pStyle w:val="NormalWeb"/>
        <w:rPr>
          <w:rFonts w:ascii="Georgia" w:hAnsi="Georgia" w:cs="Arial"/>
          <w:b/>
          <w:u w:val="single"/>
        </w:rPr>
      </w:pPr>
    </w:p>
    <w:p w14:paraId="1D93DAFC" w14:textId="77777777" w:rsidR="004A05C8" w:rsidRDefault="004A05C8" w:rsidP="004A05C8">
      <w:pPr>
        <w:pStyle w:val="NormalWeb"/>
        <w:rPr>
          <w:rFonts w:ascii="Georgia" w:hAnsi="Georgia" w:cs="Arial"/>
          <w:b/>
          <w:u w:val="single"/>
        </w:rPr>
      </w:pPr>
    </w:p>
    <w:p w14:paraId="06447C69" w14:textId="77777777" w:rsidR="001F19A2" w:rsidRDefault="001F19A2" w:rsidP="004A05C8">
      <w:pPr>
        <w:pStyle w:val="NormalWeb"/>
        <w:rPr>
          <w:rFonts w:ascii="Georgia" w:hAnsi="Georgia"/>
          <w:b/>
          <w:bCs/>
          <w:u w:val="single"/>
        </w:rPr>
      </w:pPr>
    </w:p>
    <w:p w14:paraId="2D9A650C" w14:textId="77777777" w:rsidR="001F19A2" w:rsidRDefault="001F19A2" w:rsidP="004A05C8">
      <w:pPr>
        <w:pStyle w:val="NormalWeb"/>
        <w:rPr>
          <w:rFonts w:ascii="Georgia" w:hAnsi="Georgia"/>
          <w:b/>
          <w:bCs/>
          <w:u w:val="single"/>
        </w:rPr>
      </w:pPr>
    </w:p>
    <w:p w14:paraId="4C44B503" w14:textId="0C65848A" w:rsidR="004A05C8" w:rsidRPr="00570D80" w:rsidRDefault="001F19A2" w:rsidP="004A05C8">
      <w:pPr>
        <w:pStyle w:val="NormalWeb"/>
        <w:rPr>
          <w:u w:val="single"/>
          <w:lang w:eastAsia="zh-CN"/>
        </w:rPr>
      </w:pPr>
      <w:r>
        <w:rPr>
          <w:rFonts w:ascii="Georgia" w:hAnsi="Georgia"/>
          <w:b/>
          <w:bCs/>
          <w:u w:val="single"/>
        </w:rPr>
        <w:lastRenderedPageBreak/>
        <w:t>D</w:t>
      </w:r>
      <w:r w:rsidR="004A05C8" w:rsidRPr="00570D80">
        <w:rPr>
          <w:rFonts w:ascii="Georgia" w:hAnsi="Georgia"/>
          <w:b/>
          <w:bCs/>
          <w:u w:val="single"/>
        </w:rPr>
        <w:t xml:space="preserve">escription of hearing </w:t>
      </w:r>
    </w:p>
    <w:p w14:paraId="6D3CBC57" w14:textId="77777777" w:rsidR="001F19A2" w:rsidRDefault="004A05C8" w:rsidP="004A05C8">
      <w:pPr>
        <w:rPr>
          <w:rFonts w:ascii="Georgia" w:hAnsi="Georgia"/>
          <w:lang w:eastAsia="zh-CN"/>
        </w:rPr>
      </w:pPr>
      <w:r w:rsidRPr="007E16EF">
        <w:rPr>
          <w:rFonts w:ascii="Georgia" w:hAnsi="Georgia"/>
          <w:lang w:eastAsia="zh-CN"/>
        </w:rPr>
        <w:t xml:space="preserve">This has been a remote hearing </w:t>
      </w:r>
      <w:r w:rsidR="001F19A2">
        <w:rPr>
          <w:rFonts w:ascii="Georgia" w:hAnsi="Georgia"/>
          <w:lang w:eastAsia="zh-CN"/>
        </w:rPr>
        <w:t xml:space="preserve">on the papers </w:t>
      </w:r>
      <w:r w:rsidRPr="007E16EF">
        <w:rPr>
          <w:rFonts w:ascii="Georgia" w:hAnsi="Georgia"/>
          <w:lang w:eastAsia="zh-CN"/>
        </w:rPr>
        <w:t xml:space="preserve">which has been not objected to by the parties. The form of remote hearing was </w:t>
      </w:r>
      <w:r w:rsidR="001F19A2">
        <w:rPr>
          <w:rFonts w:ascii="Georgia" w:hAnsi="Georgia"/>
          <w:lang w:eastAsia="zh-CN"/>
        </w:rPr>
        <w:t>P</w:t>
      </w:r>
      <w:r w:rsidRPr="007E16EF">
        <w:rPr>
          <w:rFonts w:ascii="Georgia" w:hAnsi="Georgia"/>
          <w:lang w:eastAsia="zh-CN"/>
        </w:rPr>
        <w:t xml:space="preserve">: </w:t>
      </w:r>
      <w:r w:rsidR="001F19A2">
        <w:rPr>
          <w:rFonts w:ascii="Georgia" w:hAnsi="Georgia" w:cs="Arial"/>
        </w:rPr>
        <w:t>PAPER</w:t>
      </w:r>
      <w:r w:rsidRPr="007E16EF">
        <w:rPr>
          <w:rFonts w:ascii="Georgia" w:hAnsi="Georgia"/>
          <w:lang w:eastAsia="zh-CN"/>
        </w:rPr>
        <w:t xml:space="preserve">. A face-to-face hearing was not held because it was not </w:t>
      </w:r>
      <w:proofErr w:type="gramStart"/>
      <w:r w:rsidRPr="007E16EF">
        <w:rPr>
          <w:rFonts w:ascii="Georgia" w:hAnsi="Georgia"/>
          <w:lang w:eastAsia="zh-CN"/>
        </w:rPr>
        <w:t>practicable</w:t>
      </w:r>
      <w:proofErr w:type="gramEnd"/>
      <w:r w:rsidRPr="007E16EF">
        <w:rPr>
          <w:rFonts w:ascii="Georgia" w:hAnsi="Georgia"/>
          <w:lang w:eastAsia="zh-CN"/>
        </w:rPr>
        <w:t xml:space="preserve"> and all issues could be determined in a remote hearing</w:t>
      </w:r>
      <w:r>
        <w:rPr>
          <w:rFonts w:ascii="Georgia" w:hAnsi="Georgia"/>
          <w:lang w:eastAsia="zh-CN"/>
        </w:rPr>
        <w:t>.</w:t>
      </w:r>
      <w:r w:rsidRPr="007E16EF">
        <w:rPr>
          <w:rFonts w:ascii="Georgia" w:hAnsi="Georgia"/>
          <w:lang w:eastAsia="zh-CN"/>
        </w:rPr>
        <w:t xml:space="preserve"> </w:t>
      </w:r>
    </w:p>
    <w:p w14:paraId="2E64AF8A" w14:textId="77777777" w:rsidR="001F19A2" w:rsidRDefault="001F19A2" w:rsidP="004A05C8">
      <w:pPr>
        <w:rPr>
          <w:rFonts w:ascii="Georgia" w:hAnsi="Georgia"/>
          <w:lang w:eastAsia="zh-CN"/>
        </w:rPr>
      </w:pPr>
    </w:p>
    <w:p w14:paraId="02E1082A" w14:textId="63DB43A2" w:rsidR="004A05C8" w:rsidRDefault="004A05C8" w:rsidP="001F19A2">
      <w:pPr>
        <w:rPr>
          <w:rFonts w:ascii="Georgia" w:hAnsi="Georgia"/>
          <w:lang w:eastAsia="zh-CN"/>
        </w:rPr>
      </w:pPr>
      <w:r w:rsidRPr="007E16EF">
        <w:rPr>
          <w:rFonts w:ascii="Georgia" w:hAnsi="Georgia"/>
          <w:lang w:eastAsia="zh-CN"/>
        </w:rPr>
        <w:t xml:space="preserve">The documents </w:t>
      </w:r>
      <w:r>
        <w:rPr>
          <w:rFonts w:ascii="Georgia" w:hAnsi="Georgia"/>
          <w:lang w:eastAsia="zh-CN"/>
        </w:rPr>
        <w:t>before the tribunal at the hearing were in a bundle provided by the applicants of 11</w:t>
      </w:r>
      <w:r w:rsidR="00E914CF">
        <w:rPr>
          <w:rFonts w:ascii="Georgia" w:hAnsi="Georgia"/>
          <w:lang w:eastAsia="zh-CN"/>
        </w:rPr>
        <w:t>9</w:t>
      </w:r>
      <w:r>
        <w:rPr>
          <w:rFonts w:ascii="Georgia" w:hAnsi="Georgia"/>
          <w:lang w:eastAsia="zh-CN"/>
        </w:rPr>
        <w:t xml:space="preserve"> pages. The respondent had not provided any documentation for the bundle. </w:t>
      </w:r>
    </w:p>
    <w:p w14:paraId="107D20E4" w14:textId="77777777" w:rsidR="004A05C8" w:rsidRDefault="004A05C8" w:rsidP="004A05C8">
      <w:pPr>
        <w:pStyle w:val="NormalWeb"/>
      </w:pPr>
      <w:r>
        <w:rPr>
          <w:rFonts w:ascii="Georgia" w:hAnsi="Georgia"/>
        </w:rPr>
        <w:t xml:space="preserve">The decisions made and reasons are set out below. </w:t>
      </w:r>
    </w:p>
    <w:p w14:paraId="230B26D9" w14:textId="77777777" w:rsidR="004A05C8" w:rsidRPr="00063C7E" w:rsidRDefault="004A05C8" w:rsidP="004A05C8">
      <w:pPr>
        <w:pStyle w:val="NormalWeb"/>
        <w:rPr>
          <w:u w:val="single"/>
        </w:rPr>
      </w:pPr>
      <w:r w:rsidRPr="00063C7E">
        <w:rPr>
          <w:rFonts w:ascii="Georgia" w:hAnsi="Georgia"/>
          <w:b/>
          <w:bCs/>
          <w:u w:val="single"/>
        </w:rPr>
        <w:t>Decision</w:t>
      </w:r>
      <w:r>
        <w:rPr>
          <w:rFonts w:ascii="Georgia" w:hAnsi="Georgia"/>
          <w:b/>
          <w:bCs/>
          <w:u w:val="single"/>
        </w:rPr>
        <w:t>s</w:t>
      </w:r>
      <w:r w:rsidRPr="00063C7E">
        <w:rPr>
          <w:rFonts w:ascii="Georgia" w:hAnsi="Georgia"/>
          <w:b/>
          <w:bCs/>
          <w:u w:val="single"/>
        </w:rPr>
        <w:t xml:space="preserve"> of the tribunal </w:t>
      </w:r>
    </w:p>
    <w:p w14:paraId="49C474F3" w14:textId="77777777" w:rsidR="004A05C8" w:rsidRDefault="004A05C8" w:rsidP="004D7FEF">
      <w:pPr>
        <w:pStyle w:val="NormalWeb"/>
        <w:rPr>
          <w:rFonts w:ascii="Georgia" w:hAnsi="Georgia"/>
        </w:rPr>
      </w:pPr>
      <w:r>
        <w:rPr>
          <w:rFonts w:ascii="Georgia" w:hAnsi="Georgia"/>
        </w:rPr>
        <w:t xml:space="preserve">The Tribunal determines that the amount of costs payable by the respondent </w:t>
      </w:r>
      <w:proofErr w:type="gramStart"/>
      <w:r>
        <w:rPr>
          <w:rFonts w:ascii="Georgia" w:hAnsi="Georgia"/>
        </w:rPr>
        <w:t>is</w:t>
      </w:r>
      <w:proofErr w:type="gramEnd"/>
    </w:p>
    <w:p w14:paraId="10C760C7" w14:textId="2AA21D96" w:rsidR="004A05C8" w:rsidRDefault="004A05C8" w:rsidP="004A05C8">
      <w:pPr>
        <w:pStyle w:val="NormalWeb"/>
        <w:numPr>
          <w:ilvl w:val="0"/>
          <w:numId w:val="37"/>
        </w:numPr>
      </w:pPr>
      <w:r>
        <w:rPr>
          <w:rFonts w:ascii="Georgia" w:hAnsi="Georgia"/>
        </w:rPr>
        <w:t>£</w:t>
      </w:r>
      <w:r w:rsidR="004D7FEF">
        <w:rPr>
          <w:rFonts w:ascii="Georgia" w:hAnsi="Georgia"/>
        </w:rPr>
        <w:t xml:space="preserve">605 </w:t>
      </w:r>
      <w:r>
        <w:rPr>
          <w:rFonts w:ascii="Georgia" w:hAnsi="Georgia"/>
        </w:rPr>
        <w:t xml:space="preserve">plus VAT in respect of Scott Cohen’s legal </w:t>
      </w:r>
      <w:proofErr w:type="gramStart"/>
      <w:r>
        <w:rPr>
          <w:rFonts w:ascii="Georgia" w:hAnsi="Georgia"/>
        </w:rPr>
        <w:t>fees;</w:t>
      </w:r>
      <w:proofErr w:type="gramEnd"/>
      <w:r>
        <w:rPr>
          <w:rFonts w:ascii="Georgia" w:hAnsi="Georgia"/>
        </w:rPr>
        <w:t xml:space="preserve"> </w:t>
      </w:r>
    </w:p>
    <w:p w14:paraId="47B0E925" w14:textId="5F6491AF" w:rsidR="004A05C8" w:rsidRPr="004D7FEF" w:rsidRDefault="004A05C8" w:rsidP="004A05C8">
      <w:pPr>
        <w:pStyle w:val="NormalWeb"/>
        <w:numPr>
          <w:ilvl w:val="0"/>
          <w:numId w:val="37"/>
        </w:numPr>
      </w:pPr>
      <w:r w:rsidRPr="00CC1BDB">
        <w:rPr>
          <w:rFonts w:ascii="Georgia" w:hAnsi="Georgia"/>
        </w:rPr>
        <w:t>Disbursements of £6.</w:t>
      </w:r>
      <w:r w:rsidR="004D7FEF">
        <w:rPr>
          <w:rFonts w:ascii="Georgia" w:hAnsi="Georgia"/>
        </w:rPr>
        <w:t>85</w:t>
      </w:r>
      <w:r w:rsidRPr="00CC1BDB">
        <w:rPr>
          <w:rFonts w:ascii="Georgia" w:hAnsi="Georgia"/>
        </w:rPr>
        <w:t>plus VAT</w:t>
      </w:r>
    </w:p>
    <w:p w14:paraId="18BBF8D7" w14:textId="707E97EC" w:rsidR="004D7FEF" w:rsidRDefault="004D7FEF" w:rsidP="004D7FEF">
      <w:pPr>
        <w:pStyle w:val="NormalWeb"/>
        <w:rPr>
          <w:rFonts w:ascii="Georgia" w:hAnsi="Georgia"/>
        </w:rPr>
      </w:pPr>
      <w:r>
        <w:rPr>
          <w:rFonts w:ascii="Georgia" w:hAnsi="Georgia"/>
        </w:rPr>
        <w:t xml:space="preserve">The Tribunal </w:t>
      </w:r>
      <w:r w:rsidR="00203572">
        <w:rPr>
          <w:rFonts w:ascii="Georgia" w:hAnsi="Georgia"/>
        </w:rPr>
        <w:t>disallows the claim for the fees</w:t>
      </w:r>
      <w:r>
        <w:rPr>
          <w:rFonts w:ascii="Georgia" w:hAnsi="Georgia"/>
        </w:rPr>
        <w:t xml:space="preserve"> </w:t>
      </w:r>
      <w:r w:rsidR="00203572">
        <w:rPr>
          <w:rFonts w:ascii="Georgia" w:hAnsi="Georgia"/>
        </w:rPr>
        <w:t>of</w:t>
      </w:r>
      <w:r>
        <w:rPr>
          <w:rFonts w:ascii="Georgia" w:hAnsi="Georgia"/>
        </w:rPr>
        <w:t xml:space="preserve"> </w:t>
      </w:r>
      <w:proofErr w:type="spellStart"/>
      <w:r>
        <w:rPr>
          <w:rFonts w:ascii="Georgia" w:hAnsi="Georgia"/>
        </w:rPr>
        <w:t>Eagerstates</w:t>
      </w:r>
      <w:proofErr w:type="spellEnd"/>
      <w:r>
        <w:rPr>
          <w:rFonts w:ascii="Georgia" w:hAnsi="Georgia"/>
        </w:rPr>
        <w:t xml:space="preserve"> Limited.</w:t>
      </w:r>
    </w:p>
    <w:p w14:paraId="1DCF9C67" w14:textId="48AF8360" w:rsidR="004D7FEF" w:rsidRPr="00CC1BDB" w:rsidRDefault="004D7FEF" w:rsidP="004D7FEF">
      <w:pPr>
        <w:pStyle w:val="NormalWeb"/>
      </w:pPr>
      <w:r>
        <w:rPr>
          <w:rFonts w:ascii="Georgia" w:hAnsi="Georgia"/>
        </w:rPr>
        <w:t>The reasons for the Tribunal’s decisions are given below.</w:t>
      </w:r>
    </w:p>
    <w:p w14:paraId="646CC767" w14:textId="77777777" w:rsidR="004A05C8" w:rsidRDefault="004A05C8" w:rsidP="004A05C8">
      <w:pPr>
        <w:jc w:val="both"/>
        <w:rPr>
          <w:rFonts w:ascii="Georgia" w:hAnsi="Georgia" w:cs="Arial"/>
          <w:b/>
          <w:u w:val="single"/>
        </w:rPr>
      </w:pPr>
    </w:p>
    <w:p w14:paraId="3C2AAE1C" w14:textId="77777777" w:rsidR="004A05C8" w:rsidRDefault="004A05C8" w:rsidP="004A05C8">
      <w:pPr>
        <w:jc w:val="both"/>
        <w:rPr>
          <w:rFonts w:ascii="Georgia" w:hAnsi="Georgia" w:cs="Arial"/>
          <w:b/>
          <w:u w:val="single"/>
        </w:rPr>
      </w:pPr>
      <w:r>
        <w:rPr>
          <w:rFonts w:ascii="Georgia" w:hAnsi="Georgia" w:cs="Arial"/>
          <w:b/>
          <w:u w:val="single"/>
        </w:rPr>
        <w:t>Background</w:t>
      </w:r>
    </w:p>
    <w:p w14:paraId="4C662D08" w14:textId="77777777" w:rsidR="004A05C8" w:rsidRPr="003938A1" w:rsidRDefault="004A05C8" w:rsidP="004A05C8">
      <w:pPr>
        <w:jc w:val="both"/>
        <w:rPr>
          <w:rFonts w:ascii="Georgia" w:hAnsi="Georgia" w:cs="Arial"/>
        </w:rPr>
      </w:pPr>
    </w:p>
    <w:p w14:paraId="06DA62FA" w14:textId="77777777" w:rsidR="004A05C8" w:rsidRDefault="004A05C8" w:rsidP="004A05C8">
      <w:pPr>
        <w:numPr>
          <w:ilvl w:val="0"/>
          <w:numId w:val="23"/>
        </w:numPr>
        <w:tabs>
          <w:tab w:val="clear" w:pos="1440"/>
          <w:tab w:val="num" w:pos="720"/>
        </w:tabs>
        <w:spacing w:after="240"/>
        <w:ind w:left="720" w:hanging="720"/>
        <w:jc w:val="both"/>
        <w:rPr>
          <w:rFonts w:ascii="Georgia" w:hAnsi="Georgia" w:cs="Arial"/>
        </w:rPr>
      </w:pPr>
      <w:r>
        <w:rPr>
          <w:rFonts w:ascii="Georgia" w:hAnsi="Georgia" w:cs="Arial"/>
        </w:rPr>
        <w:t xml:space="preserve">The Applicant seeks an order under </w:t>
      </w:r>
      <w:r>
        <w:rPr>
          <w:rFonts w:ascii="Georgia" w:hAnsi="Georgia" w:cs="Arial"/>
          <w:bCs/>
        </w:rPr>
        <w:t xml:space="preserve">section 88(4) </w:t>
      </w:r>
      <w:r w:rsidRPr="00051327">
        <w:rPr>
          <w:rFonts w:ascii="Georgia" w:hAnsi="Georgia" w:cs="Arial"/>
          <w:lang w:eastAsia="ja-JP"/>
        </w:rPr>
        <w:t>of the Commonhold and Leasehold Reform Act 2002 (the “</w:t>
      </w:r>
      <w:r w:rsidRPr="00E23D76">
        <w:rPr>
          <w:rFonts w:ascii="Georgia" w:hAnsi="Georgia" w:cs="Arial"/>
          <w:b/>
          <w:bCs/>
          <w:lang w:eastAsia="ja-JP"/>
        </w:rPr>
        <w:t>2002 Act</w:t>
      </w:r>
      <w:r w:rsidRPr="00051327">
        <w:rPr>
          <w:rFonts w:ascii="Georgia" w:hAnsi="Georgia" w:cs="Arial"/>
          <w:lang w:eastAsia="ja-JP"/>
        </w:rPr>
        <w:t>”)</w:t>
      </w:r>
      <w:r>
        <w:rPr>
          <w:rFonts w:ascii="Georgia" w:hAnsi="Georgia" w:cs="Arial"/>
          <w:lang w:eastAsia="ja-JP"/>
        </w:rPr>
        <w:t xml:space="preserve"> as to the amount of costs payable by </w:t>
      </w:r>
      <w:proofErr w:type="gramStart"/>
      <w:r>
        <w:rPr>
          <w:rFonts w:ascii="Georgia" w:hAnsi="Georgia" w:cs="Arial"/>
          <w:lang w:eastAsia="ja-JP"/>
        </w:rPr>
        <w:t>a</w:t>
      </w:r>
      <w:proofErr w:type="gramEnd"/>
      <w:r>
        <w:rPr>
          <w:rFonts w:ascii="Georgia" w:hAnsi="Georgia" w:cs="Arial"/>
          <w:lang w:eastAsia="ja-JP"/>
        </w:rPr>
        <w:t xml:space="preserve"> RTM Company.</w:t>
      </w:r>
    </w:p>
    <w:p w14:paraId="0313C6D9" w14:textId="77777777" w:rsidR="004A05C8" w:rsidRPr="005A533B" w:rsidRDefault="004A05C8" w:rsidP="004A05C8">
      <w:pPr>
        <w:numPr>
          <w:ilvl w:val="0"/>
          <w:numId w:val="23"/>
        </w:numPr>
        <w:tabs>
          <w:tab w:val="clear" w:pos="1440"/>
          <w:tab w:val="num" w:pos="720"/>
        </w:tabs>
        <w:spacing w:after="120"/>
        <w:ind w:left="720" w:hanging="720"/>
        <w:jc w:val="both"/>
        <w:rPr>
          <w:rFonts w:ascii="Georgia" w:hAnsi="Georgia" w:cs="Arial"/>
        </w:rPr>
      </w:pPr>
      <w:r>
        <w:rPr>
          <w:rFonts w:ascii="Georgia" w:hAnsi="Georgia" w:cs="Arial"/>
          <w:lang w:eastAsia="ja-JP"/>
        </w:rPr>
        <w:t xml:space="preserve">Section 88 of the 2004 Act provides </w:t>
      </w:r>
      <w:proofErr w:type="gramStart"/>
      <w:r>
        <w:rPr>
          <w:rFonts w:ascii="Georgia" w:hAnsi="Georgia" w:cs="Arial"/>
          <w:lang w:eastAsia="ja-JP"/>
        </w:rPr>
        <w:t>that</w:t>
      </w:r>
      <w:proofErr w:type="gramEnd"/>
      <w:r>
        <w:rPr>
          <w:rFonts w:ascii="Georgia" w:hAnsi="Georgia" w:cs="Arial"/>
          <w:lang w:eastAsia="ja-JP"/>
        </w:rPr>
        <w:t xml:space="preserve"> </w:t>
      </w:r>
    </w:p>
    <w:p w14:paraId="28C024E3" w14:textId="77777777" w:rsidR="004A05C8" w:rsidRPr="004D7FEF" w:rsidRDefault="004A05C8" w:rsidP="004A05C8">
      <w:pPr>
        <w:spacing w:after="120"/>
        <w:ind w:left="1417"/>
        <w:jc w:val="both"/>
        <w:rPr>
          <w:rFonts w:ascii="Georgia" w:hAnsi="Georgia" w:cs="Arial"/>
          <w:i/>
          <w:iCs/>
          <w:color w:val="000000"/>
          <w:lang w:eastAsia="zh-CN"/>
        </w:rPr>
      </w:pPr>
      <w:r w:rsidRPr="004D7FEF">
        <w:rPr>
          <w:rFonts w:ascii="Georgia" w:hAnsi="Georgia" w:cs="Arial"/>
          <w:i/>
          <w:iCs/>
          <w:lang w:eastAsia="ja-JP"/>
        </w:rPr>
        <w:t xml:space="preserve">‘(1) </w:t>
      </w:r>
      <w:proofErr w:type="gramStart"/>
      <w:r w:rsidRPr="004D7FEF">
        <w:rPr>
          <w:rFonts w:ascii="Georgia" w:hAnsi="Georgia" w:cs="Arial"/>
          <w:i/>
          <w:iCs/>
          <w:lang w:eastAsia="ja-JP"/>
        </w:rPr>
        <w:t>A</w:t>
      </w:r>
      <w:proofErr w:type="gramEnd"/>
      <w:r w:rsidRPr="004D7FEF">
        <w:rPr>
          <w:rFonts w:ascii="Georgia" w:hAnsi="Georgia" w:cs="Arial"/>
          <w:i/>
          <w:iCs/>
          <w:lang w:eastAsia="ja-JP"/>
        </w:rPr>
        <w:t xml:space="preserve"> </w:t>
      </w:r>
      <w:r w:rsidRPr="004D7FEF">
        <w:rPr>
          <w:rFonts w:ascii="Georgia" w:hAnsi="Georgia" w:cs="Arial"/>
          <w:i/>
          <w:iCs/>
          <w:color w:val="000000"/>
          <w:lang w:eastAsia="zh-CN"/>
        </w:rPr>
        <w:t>RTM company is liable for reasonable costs incurred by a person who is—</w:t>
      </w:r>
    </w:p>
    <w:p w14:paraId="6E53D8D4" w14:textId="77777777" w:rsidR="004A05C8" w:rsidRPr="004D7FEF" w:rsidRDefault="004A05C8" w:rsidP="004A05C8">
      <w:pPr>
        <w:spacing w:after="120"/>
        <w:ind w:left="720"/>
        <w:jc w:val="both"/>
        <w:rPr>
          <w:rFonts w:ascii="Georgia" w:hAnsi="Georgia" w:cs="Arial"/>
          <w:i/>
          <w:iCs/>
        </w:rPr>
      </w:pPr>
      <w:r w:rsidRPr="004D7FEF">
        <w:rPr>
          <w:rFonts w:ascii="Georgia" w:hAnsi="Georgia" w:cs="Arial"/>
          <w:i/>
          <w:iCs/>
          <w:color w:val="000000"/>
          <w:lang w:eastAsia="zh-CN"/>
        </w:rPr>
        <w:tab/>
        <w:t>(a)landlord under a lease of the whole or any part of any premises,</w:t>
      </w:r>
    </w:p>
    <w:p w14:paraId="21B22EFC" w14:textId="77777777" w:rsidR="004A05C8" w:rsidRPr="004D7FEF" w:rsidRDefault="004A05C8" w:rsidP="004A05C8">
      <w:pPr>
        <w:spacing w:after="120"/>
        <w:ind w:left="720"/>
        <w:jc w:val="both"/>
        <w:rPr>
          <w:rFonts w:ascii="Georgia" w:hAnsi="Georgia" w:cs="Arial"/>
          <w:i/>
          <w:iCs/>
        </w:rPr>
      </w:pPr>
      <w:r w:rsidRPr="004D7FEF">
        <w:rPr>
          <w:rFonts w:ascii="Georgia" w:hAnsi="Georgia" w:cs="Arial"/>
          <w:i/>
          <w:iCs/>
          <w:color w:val="000000"/>
          <w:lang w:eastAsia="zh-CN"/>
        </w:rPr>
        <w:tab/>
        <w:t>(b)party to such a lease otherwise than as landlord or tenant, or</w:t>
      </w:r>
    </w:p>
    <w:p w14:paraId="4BC137A9" w14:textId="77777777" w:rsidR="004A05C8" w:rsidRPr="004D7FEF" w:rsidRDefault="004A05C8" w:rsidP="004A05C8">
      <w:pPr>
        <w:spacing w:after="120"/>
        <w:ind w:left="720"/>
        <w:jc w:val="both"/>
        <w:rPr>
          <w:rFonts w:ascii="Georgia" w:hAnsi="Georgia" w:cs="Arial"/>
          <w:i/>
          <w:iCs/>
        </w:rPr>
      </w:pPr>
      <w:r w:rsidRPr="004D7FEF">
        <w:rPr>
          <w:rFonts w:ascii="Georgia" w:hAnsi="Georgia" w:cs="Arial"/>
          <w:i/>
          <w:iCs/>
          <w:color w:val="000000"/>
          <w:lang w:eastAsia="zh-CN"/>
        </w:rPr>
        <w:tab/>
        <w:t xml:space="preserve">(c)a manager appointed under Part 2 of the 1987 Act to act in </w:t>
      </w:r>
      <w:r w:rsidRPr="004D7FEF">
        <w:rPr>
          <w:rFonts w:ascii="Georgia" w:hAnsi="Georgia" w:cs="Arial"/>
          <w:i/>
          <w:iCs/>
          <w:color w:val="000000"/>
          <w:lang w:eastAsia="zh-CN"/>
        </w:rPr>
        <w:tab/>
        <w:t xml:space="preserve">relation to the premises, or any premises containing or contained </w:t>
      </w:r>
      <w:r w:rsidRPr="004D7FEF">
        <w:rPr>
          <w:rFonts w:ascii="Georgia" w:hAnsi="Georgia" w:cs="Arial"/>
          <w:i/>
          <w:iCs/>
          <w:color w:val="000000"/>
          <w:lang w:eastAsia="zh-CN"/>
        </w:rPr>
        <w:tab/>
        <w:t>in the premises,</w:t>
      </w:r>
    </w:p>
    <w:p w14:paraId="4E813E7D" w14:textId="77777777" w:rsidR="004A05C8" w:rsidRPr="004D7FEF" w:rsidRDefault="004A05C8" w:rsidP="004A05C8">
      <w:pPr>
        <w:spacing w:after="120"/>
        <w:ind w:left="720"/>
        <w:jc w:val="both"/>
        <w:rPr>
          <w:rFonts w:ascii="Georgia" w:hAnsi="Georgia" w:cs="Arial"/>
          <w:i/>
          <w:iCs/>
          <w:color w:val="000000"/>
          <w:lang w:eastAsia="zh-CN"/>
        </w:rPr>
      </w:pPr>
      <w:r w:rsidRPr="004D7FEF">
        <w:rPr>
          <w:rFonts w:ascii="Georgia" w:hAnsi="Georgia" w:cs="Arial"/>
          <w:i/>
          <w:iCs/>
          <w:color w:val="000000"/>
          <w:lang w:eastAsia="zh-CN"/>
        </w:rPr>
        <w:tab/>
        <w:t xml:space="preserve">in consequence of a claim notice given by the company in relation </w:t>
      </w:r>
      <w:r w:rsidRPr="004D7FEF">
        <w:rPr>
          <w:rFonts w:ascii="Georgia" w:hAnsi="Georgia" w:cs="Arial"/>
          <w:i/>
          <w:iCs/>
          <w:color w:val="000000"/>
          <w:lang w:eastAsia="zh-CN"/>
        </w:rPr>
        <w:tab/>
        <w:t>to the premises.</w:t>
      </w:r>
    </w:p>
    <w:p w14:paraId="4F47110F" w14:textId="77777777" w:rsidR="004A05C8" w:rsidRPr="004D7FEF" w:rsidRDefault="004A05C8" w:rsidP="004A05C8">
      <w:pPr>
        <w:spacing w:after="240"/>
        <w:ind w:left="1440"/>
        <w:jc w:val="both"/>
        <w:rPr>
          <w:rFonts w:ascii="Georgia" w:hAnsi="Georgia" w:cs="Arial"/>
          <w:i/>
          <w:iCs/>
        </w:rPr>
      </w:pPr>
      <w:r w:rsidRPr="004D7FEF">
        <w:rPr>
          <w:rFonts w:ascii="Georgia" w:hAnsi="Georgia" w:cs="Arial"/>
          <w:i/>
          <w:iCs/>
          <w:color w:val="000000"/>
          <w:lang w:eastAsia="zh-CN"/>
        </w:rPr>
        <w:t>(2) Any costs incurred by such a person in respect of professional services rendered to him by another are to be regarded as reasonable only if and to the extent that costs in respect of such services might reasonably be expected to have been incurred by him if the circumstances had been such that he was personally liable for all such costs.</w:t>
      </w:r>
    </w:p>
    <w:p w14:paraId="74664982" w14:textId="77777777" w:rsidR="004A05C8" w:rsidRPr="004D7FEF" w:rsidRDefault="004A05C8" w:rsidP="004A05C8">
      <w:pPr>
        <w:shd w:val="clear" w:color="auto" w:fill="FFFFFF"/>
        <w:ind w:left="1440"/>
        <w:rPr>
          <w:rFonts w:ascii="Georgia" w:hAnsi="Georgia" w:cs="Arial"/>
          <w:i/>
          <w:iCs/>
          <w:color w:val="000000"/>
          <w:lang w:eastAsia="zh-CN"/>
        </w:rPr>
      </w:pPr>
      <w:r w:rsidRPr="004D7FEF">
        <w:rPr>
          <w:rFonts w:ascii="Georgia" w:hAnsi="Georgia" w:cs="Arial"/>
          <w:i/>
          <w:iCs/>
          <w:color w:val="000000"/>
          <w:lang w:eastAsia="zh-CN"/>
        </w:rPr>
        <w:lastRenderedPageBreak/>
        <w:t xml:space="preserve">(3) </w:t>
      </w:r>
      <w:proofErr w:type="gramStart"/>
      <w:r w:rsidRPr="004D7FEF">
        <w:rPr>
          <w:rFonts w:ascii="Georgia" w:hAnsi="Georgia" w:cs="Arial"/>
          <w:i/>
          <w:iCs/>
          <w:color w:val="000000"/>
          <w:lang w:eastAsia="zh-CN"/>
        </w:rPr>
        <w:t>A</w:t>
      </w:r>
      <w:proofErr w:type="gramEnd"/>
      <w:r w:rsidRPr="004D7FEF">
        <w:rPr>
          <w:rFonts w:ascii="Georgia" w:hAnsi="Georgia" w:cs="Arial"/>
          <w:i/>
          <w:iCs/>
          <w:color w:val="000000"/>
          <w:lang w:eastAsia="zh-CN"/>
        </w:rPr>
        <w:t xml:space="preserve"> RTM company is liable for any costs which such a person incurs as party to any proceedings under this Chapter before the</w:t>
      </w:r>
      <w:r w:rsidRPr="00A63F70">
        <w:rPr>
          <w:rFonts w:ascii="Georgia" w:hAnsi="Georgia" w:cs="Arial"/>
          <w:color w:val="000000"/>
          <w:lang w:eastAsia="zh-CN"/>
        </w:rPr>
        <w:t xml:space="preserve"> </w:t>
      </w:r>
      <w:r w:rsidRPr="004D7FEF">
        <w:rPr>
          <w:rFonts w:ascii="Georgia" w:hAnsi="Georgia" w:cs="Arial"/>
          <w:i/>
          <w:iCs/>
          <w:color w:val="000000"/>
          <w:lang w:eastAsia="zh-CN"/>
        </w:rPr>
        <w:t>appropriate tribunal</w:t>
      </w:r>
      <w:r w:rsidRPr="004D7FEF">
        <w:rPr>
          <w:rFonts w:ascii="Georgia" w:hAnsi="Georgia" w:cs="Arial"/>
          <w:b/>
          <w:bCs/>
          <w:i/>
          <w:iCs/>
          <w:color w:val="000000"/>
          <w:lang w:eastAsia="zh-CN"/>
        </w:rPr>
        <w:t xml:space="preserve"> </w:t>
      </w:r>
      <w:r w:rsidRPr="004D7FEF">
        <w:rPr>
          <w:rFonts w:ascii="Georgia" w:hAnsi="Georgia" w:cs="Arial"/>
          <w:i/>
          <w:iCs/>
          <w:color w:val="000000"/>
          <w:lang w:eastAsia="zh-CN"/>
        </w:rPr>
        <w:t>only if the tribunal dismisses an application by the company for a determination that it is entitled to acquire the right to manage the premises.</w:t>
      </w:r>
    </w:p>
    <w:p w14:paraId="131EF0FF" w14:textId="77777777" w:rsidR="004A05C8" w:rsidRPr="004D7FEF" w:rsidRDefault="004A05C8" w:rsidP="004A05C8">
      <w:pPr>
        <w:shd w:val="clear" w:color="auto" w:fill="FFFFFF"/>
        <w:ind w:left="1440"/>
        <w:rPr>
          <w:rFonts w:ascii="Georgia" w:hAnsi="Georgia" w:cs="Arial"/>
          <w:i/>
          <w:iCs/>
          <w:color w:val="000000"/>
          <w:lang w:eastAsia="zh-CN"/>
        </w:rPr>
      </w:pPr>
    </w:p>
    <w:p w14:paraId="2510285A" w14:textId="77777777" w:rsidR="004A05C8" w:rsidRPr="004D7FEF" w:rsidRDefault="004A05C8" w:rsidP="004A05C8">
      <w:pPr>
        <w:shd w:val="clear" w:color="auto" w:fill="FFFFFF"/>
        <w:spacing w:after="120"/>
        <w:ind w:left="1440"/>
        <w:rPr>
          <w:rFonts w:ascii="Georgia" w:hAnsi="Georgia" w:cs="Arial"/>
          <w:i/>
          <w:iCs/>
          <w:color w:val="000000"/>
          <w:lang w:eastAsia="zh-CN"/>
        </w:rPr>
      </w:pPr>
      <w:r w:rsidRPr="004D7FEF">
        <w:rPr>
          <w:rFonts w:ascii="Georgia" w:hAnsi="Georgia" w:cs="Arial"/>
          <w:i/>
          <w:iCs/>
          <w:color w:val="000000"/>
          <w:lang w:eastAsia="zh-CN"/>
        </w:rPr>
        <w:t>(</w:t>
      </w:r>
      <w:proofErr w:type="gramStart"/>
      <w:r w:rsidRPr="004D7FEF">
        <w:rPr>
          <w:rFonts w:ascii="Georgia" w:hAnsi="Georgia" w:cs="Arial"/>
          <w:i/>
          <w:iCs/>
          <w:color w:val="000000"/>
          <w:lang w:eastAsia="zh-CN"/>
        </w:rPr>
        <w:t>4)Any</w:t>
      </w:r>
      <w:proofErr w:type="gramEnd"/>
      <w:r w:rsidRPr="004D7FEF">
        <w:rPr>
          <w:rFonts w:ascii="Georgia" w:hAnsi="Georgia" w:cs="Arial"/>
          <w:i/>
          <w:iCs/>
          <w:color w:val="000000"/>
          <w:lang w:eastAsia="zh-CN"/>
        </w:rPr>
        <w:t xml:space="preserve"> question arising in relation to the amount of any costs payable by a RTM company shall, in default of agreement, be determined by the appropriate tribunal.’</w:t>
      </w:r>
    </w:p>
    <w:p w14:paraId="77E8C3A2" w14:textId="40233FA9" w:rsidR="004A05C8" w:rsidRDefault="004A05C8" w:rsidP="004A05C8">
      <w:pPr>
        <w:numPr>
          <w:ilvl w:val="0"/>
          <w:numId w:val="23"/>
        </w:numPr>
        <w:tabs>
          <w:tab w:val="clear" w:pos="1440"/>
          <w:tab w:val="num" w:pos="720"/>
        </w:tabs>
        <w:spacing w:after="240"/>
        <w:ind w:left="720" w:hanging="720"/>
        <w:jc w:val="both"/>
        <w:rPr>
          <w:rFonts w:ascii="Georgia" w:hAnsi="Georgia" w:cs="Arial"/>
        </w:rPr>
      </w:pPr>
      <w:r w:rsidRPr="00051327">
        <w:rPr>
          <w:rFonts w:ascii="Georgia" w:hAnsi="Georgia" w:cs="Arial"/>
        </w:rPr>
        <w:t xml:space="preserve">The costs claim arises out of an application for a determination </w:t>
      </w:r>
      <w:r>
        <w:rPr>
          <w:rFonts w:ascii="Georgia" w:hAnsi="Georgia" w:cs="Arial"/>
        </w:rPr>
        <w:t>that the applicant was entitled</w:t>
      </w:r>
      <w:r w:rsidRPr="00051327">
        <w:rPr>
          <w:rFonts w:ascii="Georgia" w:hAnsi="Georgia" w:cs="Arial"/>
        </w:rPr>
        <w:t xml:space="preserve"> to acquire the right to manage </w:t>
      </w:r>
      <w:r w:rsidR="00E914CF" w:rsidRPr="00E914CF">
        <w:rPr>
          <w:rFonts w:ascii="Georgia" w:hAnsi="Georgia" w:cs="Arial"/>
        </w:rPr>
        <w:t>1 Camberwell Station Road, London SE5 9JJ</w:t>
      </w:r>
      <w:r>
        <w:rPr>
          <w:rFonts w:ascii="Georgia" w:hAnsi="Georgia" w:cs="Arial"/>
        </w:rPr>
        <w:t xml:space="preserve"> (‘</w:t>
      </w:r>
      <w:r>
        <w:rPr>
          <w:rFonts w:ascii="Georgia" w:hAnsi="Georgia" w:cs="Arial"/>
          <w:b/>
          <w:bCs/>
        </w:rPr>
        <w:t>the Property</w:t>
      </w:r>
      <w:r>
        <w:rPr>
          <w:rFonts w:ascii="Georgia" w:hAnsi="Georgia" w:cs="Arial"/>
          <w:lang w:eastAsia="ja-JP"/>
        </w:rPr>
        <w:t xml:space="preserve">’). </w:t>
      </w:r>
    </w:p>
    <w:p w14:paraId="37A60DDF" w14:textId="338FA600" w:rsidR="004A05C8" w:rsidRPr="00570D80" w:rsidRDefault="004A05C8" w:rsidP="00E914CF">
      <w:pPr>
        <w:numPr>
          <w:ilvl w:val="0"/>
          <w:numId w:val="23"/>
        </w:numPr>
        <w:tabs>
          <w:tab w:val="clear" w:pos="1440"/>
          <w:tab w:val="num" w:pos="720"/>
        </w:tabs>
        <w:spacing w:after="240"/>
        <w:ind w:left="720" w:hanging="720"/>
        <w:jc w:val="both"/>
        <w:rPr>
          <w:rFonts w:ascii="Georgia" w:hAnsi="Georgia" w:cs="Arial"/>
        </w:rPr>
      </w:pPr>
      <w:r>
        <w:rPr>
          <w:rFonts w:ascii="Georgia" w:hAnsi="Georgia" w:cs="Arial"/>
        </w:rPr>
        <w:t>By D</w:t>
      </w:r>
      <w:r w:rsidRPr="00570D80">
        <w:rPr>
          <w:rFonts w:ascii="Georgia" w:hAnsi="Georgia" w:cs="Arial"/>
        </w:rPr>
        <w:t xml:space="preserve">irections dated </w:t>
      </w:r>
      <w:r w:rsidR="00E914CF">
        <w:rPr>
          <w:rFonts w:ascii="Georgia" w:hAnsi="Georgia" w:cs="Arial"/>
        </w:rPr>
        <w:t>22 May 2023</w:t>
      </w:r>
      <w:r w:rsidRPr="00570D80">
        <w:rPr>
          <w:rFonts w:ascii="Georgia" w:hAnsi="Georgia" w:cs="Arial"/>
        </w:rPr>
        <w:t xml:space="preserve"> the </w:t>
      </w:r>
      <w:r>
        <w:rPr>
          <w:rFonts w:ascii="Georgia" w:hAnsi="Georgia" w:cs="Arial"/>
        </w:rPr>
        <w:t>a</w:t>
      </w:r>
      <w:r w:rsidRPr="00570D80">
        <w:rPr>
          <w:rFonts w:ascii="Georgia" w:hAnsi="Georgia" w:cs="Arial"/>
        </w:rPr>
        <w:t xml:space="preserve">pplicant was directed to provide </w:t>
      </w:r>
      <w:r>
        <w:rPr>
          <w:rFonts w:ascii="Georgia" w:hAnsi="Georgia" w:cs="Arial"/>
        </w:rPr>
        <w:t xml:space="preserve">the respondent </w:t>
      </w:r>
      <w:r w:rsidRPr="00570D80">
        <w:rPr>
          <w:rFonts w:ascii="Georgia" w:hAnsi="Georgia" w:cs="Arial"/>
        </w:rPr>
        <w:t xml:space="preserve">a </w:t>
      </w:r>
      <w:r w:rsidR="00E914CF">
        <w:rPr>
          <w:rFonts w:ascii="Georgia" w:hAnsi="Georgia" w:cs="Arial"/>
        </w:rPr>
        <w:t xml:space="preserve">detailed </w:t>
      </w:r>
      <w:r>
        <w:rPr>
          <w:rFonts w:ascii="Georgia" w:hAnsi="Georgia" w:cs="Arial"/>
        </w:rPr>
        <w:t xml:space="preserve">schedule of </w:t>
      </w:r>
      <w:r w:rsidR="00E914CF">
        <w:rPr>
          <w:rFonts w:ascii="Georgia" w:hAnsi="Georgia" w:cs="Arial"/>
        </w:rPr>
        <w:t xml:space="preserve">the </w:t>
      </w:r>
      <w:r>
        <w:rPr>
          <w:rFonts w:ascii="Georgia" w:hAnsi="Georgia" w:cs="Arial"/>
        </w:rPr>
        <w:t xml:space="preserve">costs </w:t>
      </w:r>
      <w:r w:rsidR="00E914CF">
        <w:rPr>
          <w:rFonts w:ascii="Georgia" w:hAnsi="Georgia" w:cs="Arial"/>
        </w:rPr>
        <w:t>it claims by 16 June 2023.</w:t>
      </w:r>
      <w:r>
        <w:rPr>
          <w:rFonts w:ascii="Georgia" w:hAnsi="Georgia" w:cs="Arial"/>
        </w:rPr>
        <w:t xml:space="preserve"> </w:t>
      </w:r>
    </w:p>
    <w:p w14:paraId="786EECC4" w14:textId="49D173C8" w:rsidR="004A05C8" w:rsidRDefault="004A05C8" w:rsidP="004A05C8">
      <w:pPr>
        <w:numPr>
          <w:ilvl w:val="0"/>
          <w:numId w:val="23"/>
        </w:numPr>
        <w:tabs>
          <w:tab w:val="clear" w:pos="1440"/>
          <w:tab w:val="num" w:pos="720"/>
        </w:tabs>
        <w:spacing w:after="240"/>
        <w:ind w:left="720" w:hanging="720"/>
        <w:jc w:val="both"/>
        <w:rPr>
          <w:rFonts w:ascii="Georgia" w:hAnsi="Georgia" w:cs="Arial"/>
        </w:rPr>
      </w:pPr>
      <w:r>
        <w:rPr>
          <w:rFonts w:ascii="Georgia" w:hAnsi="Georgia" w:cs="Arial"/>
        </w:rPr>
        <w:t xml:space="preserve">The directions provided for the </w:t>
      </w:r>
      <w:proofErr w:type="gramStart"/>
      <w:r>
        <w:rPr>
          <w:rFonts w:ascii="Georgia" w:hAnsi="Georgia" w:cs="Arial"/>
        </w:rPr>
        <w:t>respondent  to</w:t>
      </w:r>
      <w:proofErr w:type="gramEnd"/>
      <w:r>
        <w:rPr>
          <w:rFonts w:ascii="Georgia" w:hAnsi="Georgia" w:cs="Arial"/>
        </w:rPr>
        <w:t xml:space="preserve"> provide a </w:t>
      </w:r>
      <w:r w:rsidR="00E914CF">
        <w:rPr>
          <w:rFonts w:ascii="Georgia" w:hAnsi="Georgia" w:cs="Arial"/>
        </w:rPr>
        <w:t>case in answer</w:t>
      </w:r>
      <w:r>
        <w:rPr>
          <w:rFonts w:ascii="Georgia" w:hAnsi="Georgia" w:cs="Arial"/>
        </w:rPr>
        <w:t xml:space="preserve"> by </w:t>
      </w:r>
      <w:r w:rsidR="00E914CF">
        <w:rPr>
          <w:rFonts w:ascii="Georgia" w:hAnsi="Georgia" w:cs="Arial"/>
        </w:rPr>
        <w:t>6 July 2023</w:t>
      </w:r>
      <w:r>
        <w:rPr>
          <w:rFonts w:ascii="Georgia" w:hAnsi="Georgia" w:cs="Arial"/>
        </w:rPr>
        <w:t xml:space="preserve"> and for the applicant to provide a statement in reply</w:t>
      </w:r>
      <w:r w:rsidR="00E914CF">
        <w:rPr>
          <w:rFonts w:ascii="Georgia" w:hAnsi="Georgia" w:cs="Arial"/>
        </w:rPr>
        <w:t xml:space="preserve"> (if it wished)</w:t>
      </w:r>
      <w:r>
        <w:rPr>
          <w:rFonts w:ascii="Georgia" w:hAnsi="Georgia" w:cs="Arial"/>
        </w:rPr>
        <w:t xml:space="preserve"> by </w:t>
      </w:r>
      <w:r w:rsidR="00E914CF">
        <w:rPr>
          <w:rFonts w:ascii="Georgia" w:hAnsi="Georgia" w:cs="Arial"/>
        </w:rPr>
        <w:t>20 July 2023</w:t>
      </w:r>
      <w:r>
        <w:rPr>
          <w:rFonts w:ascii="Georgia" w:hAnsi="Georgia" w:cs="Arial"/>
        </w:rPr>
        <w:t xml:space="preserve"> and to provide a bundle of documents to the Tribunal by </w:t>
      </w:r>
      <w:r w:rsidR="00E914CF">
        <w:rPr>
          <w:rFonts w:ascii="Georgia" w:hAnsi="Georgia" w:cs="Arial"/>
        </w:rPr>
        <w:t>26 July 2023</w:t>
      </w:r>
      <w:r>
        <w:rPr>
          <w:rFonts w:ascii="Georgia" w:hAnsi="Georgia" w:cs="Arial"/>
        </w:rPr>
        <w:t xml:space="preserve">. </w:t>
      </w:r>
    </w:p>
    <w:p w14:paraId="40EA7CB4" w14:textId="0EB44B59" w:rsidR="004A05C8" w:rsidRPr="00E914CF" w:rsidRDefault="004A05C8" w:rsidP="00E914CF">
      <w:pPr>
        <w:spacing w:after="240"/>
        <w:jc w:val="both"/>
        <w:rPr>
          <w:rFonts w:ascii="Georgia" w:hAnsi="Georgia" w:cs="Arial"/>
          <w:b/>
          <w:u w:val="single"/>
        </w:rPr>
      </w:pPr>
      <w:r>
        <w:rPr>
          <w:rFonts w:ascii="Georgia" w:hAnsi="Georgia"/>
          <w:b/>
        </w:rPr>
        <w:tab/>
      </w:r>
      <w:r w:rsidRPr="00063C7E">
        <w:rPr>
          <w:rFonts w:ascii="Georgia" w:hAnsi="Georgia"/>
          <w:b/>
          <w:u w:val="single"/>
        </w:rPr>
        <w:t xml:space="preserve">The applicant’s </w:t>
      </w:r>
      <w:proofErr w:type="gramStart"/>
      <w:r w:rsidRPr="00063C7E">
        <w:rPr>
          <w:rFonts w:ascii="Georgia" w:hAnsi="Georgia"/>
          <w:b/>
          <w:u w:val="single"/>
        </w:rPr>
        <w:t>case</w:t>
      </w:r>
      <w:proofErr w:type="gramEnd"/>
    </w:p>
    <w:p w14:paraId="60F9E175" w14:textId="6CFAA655" w:rsidR="001933A2" w:rsidRDefault="001933A2" w:rsidP="004A05C8">
      <w:pPr>
        <w:pStyle w:val="ListParagraph"/>
        <w:numPr>
          <w:ilvl w:val="0"/>
          <w:numId w:val="26"/>
        </w:numPr>
        <w:spacing w:after="240"/>
        <w:ind w:hanging="720"/>
        <w:contextualSpacing w:val="0"/>
        <w:jc w:val="both"/>
        <w:rPr>
          <w:rFonts w:ascii="Georgia" w:hAnsi="Georgia"/>
        </w:rPr>
      </w:pPr>
      <w:r>
        <w:rPr>
          <w:rFonts w:ascii="Georgia" w:hAnsi="Georgia"/>
        </w:rPr>
        <w:t>The applicant claim</w:t>
      </w:r>
      <w:r w:rsidR="00203572">
        <w:rPr>
          <w:rFonts w:ascii="Georgia" w:hAnsi="Georgia"/>
        </w:rPr>
        <w:t>s</w:t>
      </w:r>
      <w:r>
        <w:rPr>
          <w:rFonts w:ascii="Georgia" w:hAnsi="Georgia"/>
        </w:rPr>
        <w:t xml:space="preserve"> solicitor’s fees </w:t>
      </w:r>
      <w:r w:rsidR="004E27E7">
        <w:rPr>
          <w:rFonts w:ascii="Georgia" w:hAnsi="Georgia"/>
        </w:rPr>
        <w:t xml:space="preserve">of Scott Cohen Solicitors Limited </w:t>
      </w:r>
      <w:r>
        <w:rPr>
          <w:rFonts w:ascii="Georgia" w:hAnsi="Georgia"/>
        </w:rPr>
        <w:t>of £611.85 (inclusive of disbursements</w:t>
      </w:r>
      <w:r w:rsidR="004E27E7">
        <w:rPr>
          <w:rFonts w:ascii="Georgia" w:hAnsi="Georgia"/>
        </w:rPr>
        <w:t>)</w:t>
      </w:r>
      <w:r>
        <w:rPr>
          <w:rFonts w:ascii="Georgia" w:hAnsi="Georgia"/>
        </w:rPr>
        <w:t xml:space="preserve"> plus VAT and management fees of £400 plus VAT.</w:t>
      </w:r>
    </w:p>
    <w:p w14:paraId="7EBEC992" w14:textId="4C422886" w:rsidR="004A05C8" w:rsidRPr="00D641F3" w:rsidRDefault="001933A2" w:rsidP="004A05C8">
      <w:pPr>
        <w:pStyle w:val="ListParagraph"/>
        <w:numPr>
          <w:ilvl w:val="0"/>
          <w:numId w:val="26"/>
        </w:numPr>
        <w:spacing w:after="240"/>
        <w:ind w:hanging="720"/>
        <w:contextualSpacing w:val="0"/>
        <w:jc w:val="both"/>
        <w:rPr>
          <w:rFonts w:ascii="Georgia" w:hAnsi="Georgia"/>
        </w:rPr>
      </w:pPr>
      <w:r>
        <w:rPr>
          <w:rFonts w:ascii="Georgia" w:hAnsi="Georgia"/>
        </w:rPr>
        <w:t xml:space="preserve">The legal fees were broken down as </w:t>
      </w:r>
      <w:proofErr w:type="gramStart"/>
      <w:r>
        <w:rPr>
          <w:rFonts w:ascii="Georgia" w:hAnsi="Georgia"/>
        </w:rPr>
        <w:t>follows</w:t>
      </w:r>
      <w:proofErr w:type="gramEnd"/>
    </w:p>
    <w:p w14:paraId="3DF2AB7A" w14:textId="4E6703D0" w:rsidR="004A05C8" w:rsidRDefault="001933A2" w:rsidP="004A05C8">
      <w:pPr>
        <w:pStyle w:val="ListParagraph"/>
        <w:spacing w:after="240"/>
        <w:contextualSpacing w:val="0"/>
        <w:jc w:val="both"/>
        <w:rPr>
          <w:rFonts w:ascii="Georgia" w:hAnsi="Georgia"/>
          <w:u w:val="single"/>
        </w:rPr>
      </w:pPr>
      <w:r>
        <w:rPr>
          <w:rFonts w:ascii="Georgia" w:hAnsi="Georgia"/>
          <w:u w:val="single"/>
        </w:rPr>
        <w:t xml:space="preserve">Engaged on </w:t>
      </w:r>
      <w:proofErr w:type="gramStart"/>
      <w:r>
        <w:rPr>
          <w:rFonts w:ascii="Georgia" w:hAnsi="Georgia"/>
          <w:u w:val="single"/>
        </w:rPr>
        <w:t>documentation</w:t>
      </w:r>
      <w:proofErr w:type="gramEnd"/>
    </w:p>
    <w:p w14:paraId="5F7FA418" w14:textId="36BAF359" w:rsidR="001933A2" w:rsidRDefault="001933A2" w:rsidP="001933A2">
      <w:pPr>
        <w:pStyle w:val="ListParagraph"/>
        <w:numPr>
          <w:ilvl w:val="0"/>
          <w:numId w:val="38"/>
        </w:numPr>
        <w:spacing w:after="240"/>
        <w:contextualSpacing w:val="0"/>
        <w:jc w:val="both"/>
        <w:rPr>
          <w:rFonts w:ascii="Georgia" w:hAnsi="Georgia"/>
        </w:rPr>
      </w:pPr>
      <w:r w:rsidRPr="001933A2">
        <w:rPr>
          <w:rFonts w:ascii="Georgia" w:hAnsi="Georgia"/>
        </w:rPr>
        <w:t>Assessment of claim</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30 minutes</w:t>
      </w:r>
    </w:p>
    <w:p w14:paraId="6115B9DB" w14:textId="1C9EE929" w:rsidR="001933A2" w:rsidRDefault="001933A2" w:rsidP="001933A2">
      <w:pPr>
        <w:pStyle w:val="ListParagraph"/>
        <w:numPr>
          <w:ilvl w:val="0"/>
          <w:numId w:val="38"/>
        </w:numPr>
        <w:spacing w:after="240"/>
        <w:contextualSpacing w:val="0"/>
        <w:jc w:val="both"/>
        <w:rPr>
          <w:rFonts w:ascii="Georgia" w:hAnsi="Georgia"/>
        </w:rPr>
      </w:pPr>
      <w:r>
        <w:rPr>
          <w:rFonts w:ascii="Georgia" w:hAnsi="Georgia"/>
        </w:rPr>
        <w:t>Assessment of supporting documentation</w:t>
      </w:r>
      <w:r>
        <w:rPr>
          <w:rFonts w:ascii="Georgia" w:hAnsi="Georgia"/>
        </w:rPr>
        <w:tab/>
        <w:t>36 minutes</w:t>
      </w:r>
    </w:p>
    <w:p w14:paraId="62906BDC" w14:textId="1158E404" w:rsidR="001933A2" w:rsidRDefault="001933A2" w:rsidP="001933A2">
      <w:pPr>
        <w:pStyle w:val="ListParagraph"/>
        <w:numPr>
          <w:ilvl w:val="0"/>
          <w:numId w:val="38"/>
        </w:numPr>
        <w:spacing w:after="240"/>
        <w:contextualSpacing w:val="0"/>
        <w:jc w:val="both"/>
        <w:rPr>
          <w:rFonts w:ascii="Georgia" w:hAnsi="Georgia"/>
        </w:rPr>
      </w:pPr>
      <w:r>
        <w:rPr>
          <w:rFonts w:ascii="Georgia" w:hAnsi="Georgia"/>
        </w:rPr>
        <w:t>Preparation of counter-notice</w:t>
      </w:r>
      <w:r>
        <w:rPr>
          <w:rFonts w:ascii="Georgia" w:hAnsi="Georgia"/>
        </w:rPr>
        <w:tab/>
      </w:r>
      <w:r>
        <w:rPr>
          <w:rFonts w:ascii="Georgia" w:hAnsi="Georgia"/>
        </w:rPr>
        <w:tab/>
      </w:r>
      <w:r>
        <w:rPr>
          <w:rFonts w:ascii="Georgia" w:hAnsi="Georgia"/>
        </w:rPr>
        <w:tab/>
        <w:t>30 minutes</w:t>
      </w:r>
    </w:p>
    <w:p w14:paraId="45EA3F6C" w14:textId="338E7D57" w:rsidR="001933A2" w:rsidRDefault="001933A2" w:rsidP="001933A2">
      <w:pPr>
        <w:spacing w:after="240"/>
        <w:ind w:left="720"/>
        <w:jc w:val="both"/>
        <w:rPr>
          <w:rFonts w:ascii="Georgia" w:hAnsi="Georgia"/>
        </w:rPr>
      </w:pPr>
      <w:r>
        <w:rPr>
          <w:rFonts w:ascii="Georgia" w:hAnsi="Georgia"/>
          <w:u w:val="single"/>
        </w:rPr>
        <w:t>Engaged on attendances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36 </w:t>
      </w:r>
      <w:proofErr w:type="gramStart"/>
      <w:r>
        <w:rPr>
          <w:rFonts w:ascii="Georgia" w:hAnsi="Georgia"/>
        </w:rPr>
        <w:t>minutes</w:t>
      </w:r>
      <w:proofErr w:type="gramEnd"/>
    </w:p>
    <w:p w14:paraId="3821C876" w14:textId="16FCBD85" w:rsidR="001933A2" w:rsidRDefault="001933A2" w:rsidP="001933A2">
      <w:pPr>
        <w:spacing w:after="240"/>
        <w:ind w:left="720"/>
        <w:jc w:val="both"/>
        <w:rPr>
          <w:rFonts w:ascii="Georgia" w:hAnsi="Georgia"/>
        </w:rPr>
      </w:pPr>
      <w:r w:rsidRPr="001933A2">
        <w:rPr>
          <w:rFonts w:ascii="Georgia" w:hAnsi="Georgia"/>
        </w:rPr>
        <w:t>Attendances were billed in un</w:t>
      </w:r>
      <w:r>
        <w:rPr>
          <w:rFonts w:ascii="Georgia" w:hAnsi="Georgia"/>
        </w:rPr>
        <w:t>i</w:t>
      </w:r>
      <w:r w:rsidRPr="001933A2">
        <w:rPr>
          <w:rFonts w:ascii="Georgia" w:hAnsi="Georgia"/>
        </w:rPr>
        <w:t>ts of 6 minutes.</w:t>
      </w:r>
      <w:r>
        <w:rPr>
          <w:rFonts w:ascii="Georgia" w:hAnsi="Georgia"/>
        </w:rPr>
        <w:t xml:space="preserve"> 36 minutes represents 2 attendances upon the RTM company and 4 attendances upon the client/client’s </w:t>
      </w:r>
      <w:proofErr w:type="gramStart"/>
      <w:r>
        <w:rPr>
          <w:rFonts w:ascii="Georgia" w:hAnsi="Georgia"/>
        </w:rPr>
        <w:t>agent</w:t>
      </w:r>
      <w:proofErr w:type="gramEnd"/>
    </w:p>
    <w:p w14:paraId="75B1363C" w14:textId="474687DB" w:rsidR="001933A2" w:rsidRDefault="001933A2" w:rsidP="001933A2">
      <w:pPr>
        <w:spacing w:after="240"/>
        <w:ind w:left="720"/>
        <w:jc w:val="both"/>
        <w:rPr>
          <w:rFonts w:ascii="Georgia" w:hAnsi="Georgia"/>
          <w:u w:val="single"/>
        </w:rPr>
      </w:pPr>
      <w:r>
        <w:rPr>
          <w:rFonts w:ascii="Georgia" w:hAnsi="Georgia"/>
          <w:u w:val="single"/>
        </w:rPr>
        <w:t>Disbursements</w:t>
      </w:r>
    </w:p>
    <w:p w14:paraId="05CC59F3" w14:textId="320B730F" w:rsidR="001933A2" w:rsidRPr="001933A2" w:rsidRDefault="001933A2" w:rsidP="001933A2">
      <w:pPr>
        <w:spacing w:after="240"/>
        <w:ind w:left="720"/>
        <w:jc w:val="both"/>
        <w:rPr>
          <w:rFonts w:ascii="Georgia" w:hAnsi="Georgia"/>
        </w:rPr>
      </w:pPr>
      <w:r w:rsidRPr="001933A2">
        <w:rPr>
          <w:rFonts w:ascii="Georgia" w:hAnsi="Georgia"/>
        </w:rPr>
        <w:t>Postage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£6.85 + VAT</w:t>
      </w:r>
    </w:p>
    <w:p w14:paraId="5520F339" w14:textId="77777777" w:rsidR="001933A2" w:rsidRPr="001933A2" w:rsidRDefault="001933A2" w:rsidP="001933A2">
      <w:pPr>
        <w:spacing w:after="240"/>
        <w:ind w:left="720"/>
        <w:jc w:val="both"/>
        <w:rPr>
          <w:rFonts w:ascii="Georgia" w:hAnsi="Georgia"/>
          <w:u w:val="single"/>
        </w:rPr>
      </w:pPr>
    </w:p>
    <w:p w14:paraId="391A2976" w14:textId="39B2F431" w:rsidR="001933A2" w:rsidRDefault="004E27E7" w:rsidP="004A05C8">
      <w:pPr>
        <w:pStyle w:val="ListParagraph"/>
        <w:numPr>
          <w:ilvl w:val="0"/>
          <w:numId w:val="26"/>
        </w:numPr>
        <w:spacing w:after="240"/>
        <w:ind w:hanging="720"/>
        <w:contextualSpacing w:val="0"/>
        <w:jc w:val="both"/>
        <w:rPr>
          <w:rFonts w:ascii="Georgia" w:hAnsi="Georgia"/>
        </w:rPr>
      </w:pPr>
      <w:r>
        <w:rPr>
          <w:rFonts w:ascii="Georgia" w:hAnsi="Georgia"/>
        </w:rPr>
        <w:t xml:space="preserve">The total time of 2.20 hours was billed at a rate of £275 per hour being the charge out rate of Lorraine Scott, a principal of the firm and a Grade A fee </w:t>
      </w:r>
      <w:r>
        <w:rPr>
          <w:rFonts w:ascii="Georgia" w:hAnsi="Georgia"/>
        </w:rPr>
        <w:lastRenderedPageBreak/>
        <w:t>earner. The fee billed was stated to be the fee rate payable by the applicant to the firm under the terms of its instruction, which includes provision for the payment of disbursements.</w:t>
      </w:r>
    </w:p>
    <w:p w14:paraId="21A9455C" w14:textId="795E9D46" w:rsidR="004A05C8" w:rsidRDefault="004A05C8" w:rsidP="004A05C8">
      <w:pPr>
        <w:pStyle w:val="ListParagraph"/>
        <w:numPr>
          <w:ilvl w:val="0"/>
          <w:numId w:val="26"/>
        </w:numPr>
        <w:spacing w:after="240"/>
        <w:ind w:hanging="720"/>
        <w:contextualSpacing w:val="0"/>
        <w:jc w:val="both"/>
        <w:rPr>
          <w:rFonts w:ascii="Georgia" w:hAnsi="Georgia"/>
        </w:rPr>
      </w:pPr>
      <w:r>
        <w:rPr>
          <w:rFonts w:ascii="Georgia" w:hAnsi="Georgia"/>
        </w:rPr>
        <w:t>It was the applicant’s submission that the costs are payable pursuant to sections 88(1) of the 2002 Act and meet the reasonableness test set out in section 88(2) of the 2002 Act</w:t>
      </w:r>
      <w:r w:rsidR="000C16B8">
        <w:rPr>
          <w:rFonts w:ascii="Georgia" w:hAnsi="Georgia"/>
        </w:rPr>
        <w:t>, namely whether it might reasonably be expected that the Landlord would incur the costs if incurring the costs itself. The bundle before the tribunal includes an extract of Scott Cohen’s terms of appointment.</w:t>
      </w:r>
    </w:p>
    <w:p w14:paraId="7630AC8D" w14:textId="4E168DF9" w:rsidR="008A62C2" w:rsidRPr="008A62C2" w:rsidRDefault="008A62C2" w:rsidP="008A62C2">
      <w:pPr>
        <w:pStyle w:val="ListParagraph"/>
        <w:numPr>
          <w:ilvl w:val="0"/>
          <w:numId w:val="26"/>
        </w:numPr>
        <w:spacing w:after="240"/>
        <w:ind w:hanging="720"/>
        <w:contextualSpacing w:val="0"/>
        <w:jc w:val="both"/>
        <w:rPr>
          <w:rFonts w:ascii="Georgia" w:hAnsi="Georgia"/>
        </w:rPr>
      </w:pPr>
      <w:r>
        <w:rPr>
          <w:rFonts w:ascii="Georgia" w:hAnsi="Georgia"/>
        </w:rPr>
        <w:t xml:space="preserve">In its statement of case the applicant </w:t>
      </w:r>
      <w:r w:rsidRPr="00304778">
        <w:rPr>
          <w:rFonts w:ascii="Georgia" w:hAnsi="Georgia"/>
        </w:rPr>
        <w:t>submitted that its costs met the test of reasonableness set out in section 88(2) of the 2002 Act, as the landlord would reasonably be expected to incur this level of cost if incurring the costs itself. The applicant submitted that the hourly rate was reasonable and within the expected range for a transaction of this nature</w:t>
      </w:r>
      <w:r>
        <w:rPr>
          <w:rFonts w:ascii="Georgia" w:hAnsi="Georgia"/>
        </w:rPr>
        <w:t xml:space="preserve">, referring the tribunal to a first-tier tribunal case </w:t>
      </w:r>
      <w:proofErr w:type="spellStart"/>
      <w:r w:rsidRPr="00304778">
        <w:rPr>
          <w:rFonts w:ascii="Georgia" w:hAnsi="Georgia"/>
          <w:i/>
          <w:iCs/>
        </w:rPr>
        <w:t>Albacourt</w:t>
      </w:r>
      <w:proofErr w:type="spellEnd"/>
      <w:r w:rsidRPr="00304778">
        <w:rPr>
          <w:rFonts w:ascii="Georgia" w:hAnsi="Georgia"/>
          <w:i/>
          <w:iCs/>
        </w:rPr>
        <w:t xml:space="preserve"> Properties Ltd </w:t>
      </w:r>
      <w:r>
        <w:rPr>
          <w:rFonts w:ascii="Georgia" w:hAnsi="Georgia"/>
          <w:i/>
          <w:iCs/>
        </w:rPr>
        <w:t xml:space="preserve">v </w:t>
      </w:r>
      <w:proofErr w:type="spellStart"/>
      <w:proofErr w:type="gramStart"/>
      <w:r w:rsidRPr="00304778">
        <w:rPr>
          <w:rFonts w:ascii="Georgia" w:hAnsi="Georgia"/>
          <w:i/>
          <w:iCs/>
        </w:rPr>
        <w:t>W.Court</w:t>
      </w:r>
      <w:proofErr w:type="spellEnd"/>
      <w:proofErr w:type="gramEnd"/>
      <w:r w:rsidRPr="00304778">
        <w:rPr>
          <w:rFonts w:ascii="Georgia" w:hAnsi="Georgia"/>
          <w:i/>
          <w:iCs/>
        </w:rPr>
        <w:t xml:space="preserve"> Joint Enterprise Dwelling Initiative Co. Ltd.</w:t>
      </w:r>
      <w:r w:rsidRPr="00304778">
        <w:rPr>
          <w:rFonts w:ascii="Georgia" w:hAnsi="Georgia"/>
        </w:rPr>
        <w:t xml:space="preserve"> MAN/00BU</w:t>
      </w:r>
      <w:r>
        <w:rPr>
          <w:rFonts w:ascii="Georgia" w:hAnsi="Georgia"/>
        </w:rPr>
        <w:t>/LCP/2019/0001.</w:t>
      </w:r>
      <w:r w:rsidRPr="00304778">
        <w:rPr>
          <w:rFonts w:ascii="Georgia" w:hAnsi="Georgia"/>
          <w:b/>
          <w:bCs/>
          <w:i/>
          <w:iCs/>
        </w:rPr>
        <w:t xml:space="preserve"> </w:t>
      </w:r>
    </w:p>
    <w:p w14:paraId="249050B3" w14:textId="34C1D73B" w:rsidR="0027493C" w:rsidRPr="000C16B8" w:rsidRDefault="0027493C" w:rsidP="004A05C8">
      <w:pPr>
        <w:pStyle w:val="ListParagraph"/>
        <w:numPr>
          <w:ilvl w:val="0"/>
          <w:numId w:val="26"/>
        </w:numPr>
        <w:spacing w:after="240"/>
        <w:ind w:hanging="720"/>
        <w:contextualSpacing w:val="0"/>
        <w:jc w:val="both"/>
        <w:rPr>
          <w:rFonts w:ascii="Georgia" w:hAnsi="Georgia"/>
          <w:i/>
          <w:iCs/>
        </w:rPr>
      </w:pPr>
      <w:r>
        <w:rPr>
          <w:rFonts w:ascii="Georgia" w:hAnsi="Georgia"/>
        </w:rPr>
        <w:t xml:space="preserve">The applicant submitted that it was reasonable to instruct an experienced practitioner in the niche field of RTM, as this may result in time and therefore cost saving. The applicant submits that the withdrawal of the claim notice is evident justification in the choice of an experienced </w:t>
      </w:r>
      <w:proofErr w:type="spellStart"/>
      <w:r>
        <w:rPr>
          <w:rFonts w:ascii="Georgia" w:hAnsi="Georgia"/>
        </w:rPr>
        <w:t>practioner</w:t>
      </w:r>
      <w:proofErr w:type="spellEnd"/>
      <w:r>
        <w:rPr>
          <w:rFonts w:ascii="Georgia" w:hAnsi="Georgia"/>
        </w:rPr>
        <w:t>.</w:t>
      </w:r>
    </w:p>
    <w:p w14:paraId="7BDF34F2" w14:textId="14409109" w:rsidR="006F37E8" w:rsidRDefault="006F37E8" w:rsidP="00203572">
      <w:pPr>
        <w:pStyle w:val="ListParagraph"/>
        <w:numPr>
          <w:ilvl w:val="0"/>
          <w:numId w:val="26"/>
        </w:numPr>
        <w:tabs>
          <w:tab w:val="left" w:pos="1440"/>
        </w:tabs>
        <w:spacing w:after="120"/>
        <w:ind w:left="663" w:hanging="720"/>
        <w:contextualSpacing w:val="0"/>
        <w:jc w:val="both"/>
        <w:rPr>
          <w:rFonts w:ascii="Georgia" w:hAnsi="Georgia"/>
        </w:rPr>
      </w:pPr>
      <w:r>
        <w:rPr>
          <w:rFonts w:ascii="Georgia" w:hAnsi="Georgia"/>
        </w:rPr>
        <w:t xml:space="preserve">The applicant’s statement of case stated, at </w:t>
      </w:r>
      <w:proofErr w:type="gramStart"/>
      <w:r>
        <w:rPr>
          <w:rFonts w:ascii="Georgia" w:hAnsi="Georgia"/>
        </w:rPr>
        <w:t>paragraph  10</w:t>
      </w:r>
      <w:proofErr w:type="gramEnd"/>
      <w:r>
        <w:rPr>
          <w:rFonts w:ascii="Georgia" w:hAnsi="Georgia"/>
        </w:rPr>
        <w:t xml:space="preserve"> that copy invoices and disbursement receipts were attached at </w:t>
      </w:r>
      <w:r w:rsidR="00203572">
        <w:rPr>
          <w:rFonts w:ascii="Georgia" w:hAnsi="Georgia"/>
        </w:rPr>
        <w:t>E</w:t>
      </w:r>
      <w:r>
        <w:rPr>
          <w:rFonts w:ascii="Georgia" w:hAnsi="Georgia"/>
        </w:rPr>
        <w:t xml:space="preserve">xhibit 4. Exhibit 4 </w:t>
      </w:r>
      <w:proofErr w:type="gramStart"/>
      <w:r>
        <w:rPr>
          <w:rFonts w:ascii="Georgia" w:hAnsi="Georgia"/>
        </w:rPr>
        <w:t>refers back</w:t>
      </w:r>
      <w:proofErr w:type="gramEnd"/>
      <w:r>
        <w:rPr>
          <w:rFonts w:ascii="Georgia" w:hAnsi="Georgia"/>
        </w:rPr>
        <w:t xml:space="preserve"> to page 38 of the bundle, which is the pro -forma invoice of Scott Cohen. This invoice treats both the management fees of </w:t>
      </w:r>
      <w:proofErr w:type="spellStart"/>
      <w:r>
        <w:rPr>
          <w:rFonts w:ascii="Georgia" w:hAnsi="Georgia"/>
        </w:rPr>
        <w:t>Eagerstates</w:t>
      </w:r>
      <w:proofErr w:type="spellEnd"/>
      <w:r>
        <w:rPr>
          <w:rFonts w:ascii="Georgia" w:hAnsi="Georgia"/>
        </w:rPr>
        <w:t xml:space="preserve"> and the postage charge </w:t>
      </w:r>
      <w:proofErr w:type="gramStart"/>
      <w:r>
        <w:rPr>
          <w:rFonts w:ascii="Georgia" w:hAnsi="Georgia"/>
        </w:rPr>
        <w:t>as  disbursement</w:t>
      </w:r>
      <w:r w:rsidR="00D916F2">
        <w:rPr>
          <w:rFonts w:ascii="Georgia" w:hAnsi="Georgia"/>
        </w:rPr>
        <w:t>s</w:t>
      </w:r>
      <w:proofErr w:type="gramEnd"/>
      <w:r>
        <w:rPr>
          <w:rFonts w:ascii="Georgia" w:hAnsi="Georgia"/>
        </w:rPr>
        <w:t xml:space="preserve">. </w:t>
      </w:r>
      <w:r w:rsidR="00D916F2">
        <w:rPr>
          <w:rFonts w:ascii="Georgia" w:hAnsi="Georgia"/>
        </w:rPr>
        <w:t xml:space="preserve">There is a copy of the certificate of posting in the bundle to substantiate the disbursement charge of £6.85 for postage. </w:t>
      </w:r>
    </w:p>
    <w:p w14:paraId="162972FC" w14:textId="74C9C6DE" w:rsidR="008A62C2" w:rsidRPr="008A62C2" w:rsidRDefault="000C16B8" w:rsidP="008A62C2">
      <w:pPr>
        <w:pStyle w:val="ListParagraph"/>
        <w:numPr>
          <w:ilvl w:val="0"/>
          <w:numId w:val="26"/>
        </w:numPr>
        <w:tabs>
          <w:tab w:val="left" w:pos="1440"/>
        </w:tabs>
        <w:spacing w:after="120"/>
        <w:ind w:left="663" w:hanging="720"/>
        <w:contextualSpacing w:val="0"/>
        <w:jc w:val="both"/>
        <w:rPr>
          <w:rFonts w:ascii="Georgia" w:hAnsi="Georgia"/>
        </w:rPr>
      </w:pPr>
      <w:r w:rsidRPr="008A62C2">
        <w:rPr>
          <w:rFonts w:ascii="Georgia" w:hAnsi="Georgia"/>
        </w:rPr>
        <w:t xml:space="preserve">The applicant submitted that </w:t>
      </w:r>
      <w:proofErr w:type="spellStart"/>
      <w:r w:rsidRPr="008A62C2">
        <w:rPr>
          <w:rFonts w:ascii="Georgia" w:hAnsi="Georgia"/>
        </w:rPr>
        <w:t>Eagerstates</w:t>
      </w:r>
      <w:proofErr w:type="spellEnd"/>
      <w:r w:rsidR="0027493C" w:rsidRPr="008A62C2">
        <w:rPr>
          <w:rFonts w:ascii="Georgia" w:hAnsi="Georgia"/>
        </w:rPr>
        <w:t>’ fees</w:t>
      </w:r>
      <w:r w:rsidRPr="008A62C2">
        <w:rPr>
          <w:rFonts w:ascii="Georgia" w:hAnsi="Georgia"/>
        </w:rPr>
        <w:t xml:space="preserve"> of £400 plus VAT were for tasks that the agents were instructed to carry out which were additional to standard management activities, in consequence of receiving the RTM Claim Notice</w:t>
      </w:r>
      <w:r w:rsidR="008A62C2">
        <w:rPr>
          <w:rFonts w:ascii="Georgia" w:hAnsi="Georgia"/>
        </w:rPr>
        <w:t xml:space="preserve"> and that the fees are reasonable</w:t>
      </w:r>
      <w:r w:rsidRPr="008A62C2">
        <w:rPr>
          <w:rFonts w:ascii="Georgia" w:hAnsi="Georgia"/>
        </w:rPr>
        <w:t xml:space="preserve">. </w:t>
      </w:r>
      <w:r w:rsidR="008A62C2" w:rsidRPr="002C6C9C">
        <w:rPr>
          <w:rFonts w:ascii="Georgia" w:hAnsi="Georgia"/>
        </w:rPr>
        <w:t xml:space="preserve">It submits that </w:t>
      </w:r>
      <w:proofErr w:type="spellStart"/>
      <w:r w:rsidR="008A62C2" w:rsidRPr="002C6C9C">
        <w:rPr>
          <w:rFonts w:ascii="Georgia" w:hAnsi="Georgia"/>
        </w:rPr>
        <w:t>Eagerstate’s</w:t>
      </w:r>
      <w:proofErr w:type="spellEnd"/>
      <w:r w:rsidR="008A62C2" w:rsidRPr="002C6C9C">
        <w:rPr>
          <w:rFonts w:ascii="Georgia" w:hAnsi="Georgia"/>
        </w:rPr>
        <w:t xml:space="preserve"> involvement is necessary immediately on receipt of the claim notice, to correspond with relevant parties and the solicitors and review its management of the property in its entirety in relation to scheduled works and services. In this connection the applicant referred the tribunal to </w:t>
      </w:r>
      <w:r w:rsidR="008A62C2" w:rsidRPr="002C6C9C">
        <w:rPr>
          <w:rFonts w:ascii="Georgia" w:hAnsi="Georgia"/>
          <w:i/>
          <w:iCs/>
        </w:rPr>
        <w:t xml:space="preserve">Columbia House Properties (No.3) Ltd v Imperial Hall RTM Company Ltd </w:t>
      </w:r>
      <w:r w:rsidR="008A62C2" w:rsidRPr="002C6C9C">
        <w:rPr>
          <w:rFonts w:ascii="Georgia" w:hAnsi="Georgia"/>
        </w:rPr>
        <w:t xml:space="preserve">[2014] UKUT 0030 (LC) </w:t>
      </w:r>
      <w:r w:rsidR="008A62C2">
        <w:rPr>
          <w:rFonts w:ascii="Georgia" w:hAnsi="Georgia"/>
        </w:rPr>
        <w:t>(</w:t>
      </w:r>
      <w:r w:rsidR="008A62C2">
        <w:rPr>
          <w:rFonts w:ascii="Georgia" w:hAnsi="Georgia"/>
          <w:b/>
          <w:bCs/>
          <w:i/>
          <w:iCs/>
        </w:rPr>
        <w:t>‘</w:t>
      </w:r>
      <w:r w:rsidR="008A62C2" w:rsidRPr="002B3AB3">
        <w:rPr>
          <w:rFonts w:ascii="Georgia" w:hAnsi="Georgia"/>
          <w:b/>
          <w:bCs/>
          <w:i/>
          <w:iCs/>
        </w:rPr>
        <w:t>Columbia’</w:t>
      </w:r>
      <w:r w:rsidR="008A62C2">
        <w:rPr>
          <w:rFonts w:ascii="Georgia" w:hAnsi="Georgia"/>
        </w:rPr>
        <w:t xml:space="preserve">) which upheld the recovery of a management </w:t>
      </w:r>
      <w:proofErr w:type="gramStart"/>
      <w:r w:rsidR="008A62C2">
        <w:rPr>
          <w:rFonts w:ascii="Georgia" w:hAnsi="Georgia"/>
        </w:rPr>
        <w:t>fee</w:t>
      </w:r>
      <w:proofErr w:type="gramEnd"/>
      <w:r w:rsidR="008A62C2">
        <w:rPr>
          <w:rFonts w:ascii="Georgia" w:hAnsi="Georgia"/>
        </w:rPr>
        <w:t xml:space="preserve"> and that managing agent involvement is common in RTM applications.</w:t>
      </w:r>
    </w:p>
    <w:p w14:paraId="7CA70852" w14:textId="0316AFC1" w:rsidR="00250D6D" w:rsidRPr="00203572" w:rsidRDefault="0027493C" w:rsidP="00250D6D">
      <w:pPr>
        <w:pStyle w:val="ListParagraph"/>
        <w:numPr>
          <w:ilvl w:val="0"/>
          <w:numId w:val="26"/>
        </w:numPr>
        <w:spacing w:after="240"/>
        <w:ind w:hanging="720"/>
        <w:contextualSpacing w:val="0"/>
        <w:jc w:val="both"/>
        <w:rPr>
          <w:rFonts w:ascii="Georgia" w:hAnsi="Georgia"/>
          <w:i/>
          <w:iCs/>
        </w:rPr>
      </w:pPr>
      <w:r>
        <w:rPr>
          <w:rFonts w:ascii="Georgia" w:hAnsi="Georgia"/>
        </w:rPr>
        <w:t>The applicant also referred the tribunal to the RICS Code of Practice, Service charge residential management Code 3</w:t>
      </w:r>
      <w:r w:rsidRPr="0027493C">
        <w:rPr>
          <w:rFonts w:ascii="Georgia" w:hAnsi="Georgia"/>
          <w:vertAlign w:val="superscript"/>
        </w:rPr>
        <w:t>rd</w:t>
      </w:r>
      <w:r>
        <w:rPr>
          <w:rFonts w:ascii="Georgia" w:hAnsi="Georgia"/>
        </w:rPr>
        <w:t xml:space="preserve"> Edition,</w:t>
      </w:r>
      <w:r w:rsidR="00D916F2">
        <w:rPr>
          <w:rFonts w:ascii="Georgia" w:hAnsi="Georgia"/>
        </w:rPr>
        <w:t xml:space="preserve"> </w:t>
      </w:r>
      <w:r>
        <w:rPr>
          <w:rFonts w:ascii="Georgia" w:hAnsi="Georgia"/>
        </w:rPr>
        <w:t xml:space="preserve">and its recommendation at Clause 3.5 that the agent has a schedule of charges for duties outside the scope of its normal annual fees. </w:t>
      </w:r>
      <w:r w:rsidR="00250D6D" w:rsidRPr="00250D6D">
        <w:rPr>
          <w:rFonts w:ascii="Georgia" w:hAnsi="Georgia"/>
        </w:rPr>
        <w:t xml:space="preserve">The applicant states, at </w:t>
      </w:r>
      <w:r w:rsidR="00250D6D" w:rsidRPr="00250D6D">
        <w:rPr>
          <w:rFonts w:ascii="Georgia" w:hAnsi="Georgia"/>
        </w:rPr>
        <w:lastRenderedPageBreak/>
        <w:t xml:space="preserve">paragraph 29 of its statement of case, that the management agreement with </w:t>
      </w:r>
      <w:proofErr w:type="spellStart"/>
      <w:r w:rsidR="00250D6D" w:rsidRPr="00250D6D">
        <w:rPr>
          <w:rFonts w:ascii="Georgia" w:hAnsi="Georgia"/>
        </w:rPr>
        <w:t>Eagerstates</w:t>
      </w:r>
      <w:proofErr w:type="spellEnd"/>
      <w:r w:rsidR="00250D6D" w:rsidRPr="00250D6D">
        <w:rPr>
          <w:rFonts w:ascii="Georgia" w:hAnsi="Georgia"/>
        </w:rPr>
        <w:t xml:space="preserve"> contains a separate schedule at Appendix 3 of charges for duties outside the scope of its annual management fee.</w:t>
      </w:r>
    </w:p>
    <w:p w14:paraId="49F23635" w14:textId="5BF29EA7" w:rsidR="00203572" w:rsidRPr="00203572" w:rsidRDefault="00203572" w:rsidP="00203572">
      <w:pPr>
        <w:pStyle w:val="ListParagraph"/>
        <w:numPr>
          <w:ilvl w:val="0"/>
          <w:numId w:val="26"/>
        </w:numPr>
        <w:tabs>
          <w:tab w:val="left" w:pos="1440"/>
        </w:tabs>
        <w:spacing w:after="120"/>
        <w:ind w:left="663" w:hanging="720"/>
        <w:contextualSpacing w:val="0"/>
        <w:jc w:val="both"/>
        <w:rPr>
          <w:rFonts w:ascii="Georgia" w:hAnsi="Georgia"/>
        </w:rPr>
      </w:pPr>
      <w:r>
        <w:rPr>
          <w:rFonts w:ascii="Georgia" w:hAnsi="Georgia"/>
        </w:rPr>
        <w:t xml:space="preserve">There is no invoice for </w:t>
      </w:r>
      <w:proofErr w:type="spellStart"/>
      <w:r>
        <w:rPr>
          <w:rFonts w:ascii="Georgia" w:hAnsi="Georgia"/>
        </w:rPr>
        <w:t>Eagerstates</w:t>
      </w:r>
      <w:proofErr w:type="spellEnd"/>
      <w:r>
        <w:rPr>
          <w:rFonts w:ascii="Georgia" w:hAnsi="Georgia"/>
        </w:rPr>
        <w:t>’ fees in the bundle.</w:t>
      </w:r>
    </w:p>
    <w:p w14:paraId="2624F0B8" w14:textId="792E0AA0" w:rsidR="004A05C8" w:rsidRPr="004D7FEF" w:rsidRDefault="004A05C8" w:rsidP="004D7FEF">
      <w:pPr>
        <w:spacing w:after="240"/>
        <w:jc w:val="both"/>
        <w:rPr>
          <w:rFonts w:ascii="Georgia" w:hAnsi="Georgia"/>
        </w:rPr>
      </w:pPr>
      <w:r w:rsidRPr="004D7FEF">
        <w:rPr>
          <w:rFonts w:ascii="Georgia" w:hAnsi="Georgia"/>
          <w:b/>
          <w:u w:val="single"/>
        </w:rPr>
        <w:t xml:space="preserve">The respondent’s </w:t>
      </w:r>
      <w:proofErr w:type="gramStart"/>
      <w:r w:rsidRPr="004D7FEF">
        <w:rPr>
          <w:rFonts w:ascii="Georgia" w:hAnsi="Georgia"/>
          <w:b/>
          <w:u w:val="single"/>
        </w:rPr>
        <w:t>case</w:t>
      </w:r>
      <w:proofErr w:type="gramEnd"/>
    </w:p>
    <w:p w14:paraId="3EC171C2" w14:textId="43BC6B72" w:rsidR="004A05C8" w:rsidRPr="00D8035D" w:rsidRDefault="004D7FEF" w:rsidP="004A05C8">
      <w:pPr>
        <w:pStyle w:val="ListParagraph"/>
        <w:numPr>
          <w:ilvl w:val="0"/>
          <w:numId w:val="26"/>
        </w:numPr>
        <w:spacing w:after="240"/>
        <w:ind w:hanging="720"/>
        <w:contextualSpacing w:val="0"/>
        <w:jc w:val="both"/>
        <w:rPr>
          <w:rFonts w:ascii="Georgia" w:hAnsi="Georgia"/>
          <w:i/>
          <w:iCs/>
        </w:rPr>
      </w:pPr>
      <w:r>
        <w:rPr>
          <w:rFonts w:ascii="Georgia" w:hAnsi="Georgia"/>
        </w:rPr>
        <w:t xml:space="preserve">The respondent did not comply with directions and provided no case in answer to the applicant’s statement of case. </w:t>
      </w:r>
    </w:p>
    <w:p w14:paraId="14197D0B" w14:textId="77777777" w:rsidR="004A05C8" w:rsidRPr="004D7FEF" w:rsidRDefault="004A05C8" w:rsidP="004A05C8">
      <w:pPr>
        <w:spacing w:after="240"/>
        <w:jc w:val="both"/>
        <w:rPr>
          <w:rFonts w:ascii="Georgia" w:hAnsi="Georgia"/>
          <w:i/>
          <w:iCs/>
        </w:rPr>
      </w:pPr>
      <w:r w:rsidRPr="004D7FEF">
        <w:rPr>
          <w:rFonts w:ascii="Georgia" w:hAnsi="Georgia"/>
          <w:b/>
          <w:u w:val="single"/>
        </w:rPr>
        <w:t>Reasons for the tribunal’s decision</w:t>
      </w:r>
    </w:p>
    <w:p w14:paraId="30DED282" w14:textId="072B5099" w:rsidR="004A05C8" w:rsidRPr="001077B3" w:rsidRDefault="004A05C8" w:rsidP="004A05C8">
      <w:pPr>
        <w:pStyle w:val="ListParagraph"/>
        <w:numPr>
          <w:ilvl w:val="0"/>
          <w:numId w:val="26"/>
        </w:numPr>
        <w:spacing w:after="240"/>
        <w:ind w:hanging="720"/>
        <w:contextualSpacing w:val="0"/>
        <w:jc w:val="both"/>
        <w:rPr>
          <w:rFonts w:ascii="Georgia" w:hAnsi="Georgia"/>
          <w:i/>
          <w:iCs/>
        </w:rPr>
      </w:pPr>
      <w:r w:rsidRPr="001077B3">
        <w:rPr>
          <w:rFonts w:ascii="Georgia" w:hAnsi="Georgia"/>
        </w:rPr>
        <w:t xml:space="preserve">The bundle before the Tribunal consisted only of documents provided by the applicant. </w:t>
      </w:r>
      <w:r>
        <w:rPr>
          <w:rFonts w:ascii="Georgia" w:hAnsi="Georgia"/>
        </w:rPr>
        <w:t xml:space="preserve">The </w:t>
      </w:r>
      <w:r w:rsidR="004D7FEF">
        <w:rPr>
          <w:rFonts w:ascii="Georgia" w:hAnsi="Georgia"/>
        </w:rPr>
        <w:t>r</w:t>
      </w:r>
      <w:r>
        <w:rPr>
          <w:rFonts w:ascii="Georgia" w:hAnsi="Georgia"/>
        </w:rPr>
        <w:t>espondent did not comply with the Tribunal’s directions and the Tribunal would remind the respondent of note (c) to its Directions which warns that such failure may result in the Tribunal deciding all issues against it pursuant to rules 9(7) and (8) of its 2013 Rules.</w:t>
      </w:r>
    </w:p>
    <w:p w14:paraId="1CDA5028" w14:textId="0AD32B51" w:rsidR="00D916F2" w:rsidRPr="00D916F2" w:rsidRDefault="004A05C8" w:rsidP="004A05C8">
      <w:pPr>
        <w:pStyle w:val="ListParagraph"/>
        <w:numPr>
          <w:ilvl w:val="0"/>
          <w:numId w:val="26"/>
        </w:numPr>
        <w:spacing w:after="240"/>
        <w:ind w:hanging="720"/>
        <w:contextualSpacing w:val="0"/>
        <w:jc w:val="both"/>
        <w:rPr>
          <w:rFonts w:ascii="Georgia" w:hAnsi="Georgia"/>
          <w:bCs/>
          <w:i/>
          <w:iCs/>
        </w:rPr>
      </w:pPr>
      <w:r w:rsidRPr="001077B3">
        <w:rPr>
          <w:rFonts w:ascii="Georgia" w:hAnsi="Georgia"/>
        </w:rPr>
        <w:t xml:space="preserve">There was no evidence from the </w:t>
      </w:r>
      <w:r w:rsidR="004D7FEF">
        <w:rPr>
          <w:rFonts w:ascii="Georgia" w:hAnsi="Georgia"/>
        </w:rPr>
        <w:t>r</w:t>
      </w:r>
      <w:r w:rsidRPr="001077B3">
        <w:rPr>
          <w:rFonts w:ascii="Georgia" w:hAnsi="Georgia"/>
        </w:rPr>
        <w:t xml:space="preserve">espondent as to what would have constituted a reasonable level of charge or time spent on the transaction by either the solicitor or the managing agents. </w:t>
      </w:r>
    </w:p>
    <w:p w14:paraId="002F1956" w14:textId="237A9C64" w:rsidR="00D916F2" w:rsidRPr="00D916F2" w:rsidRDefault="004A05C8" w:rsidP="00D916F2">
      <w:pPr>
        <w:pStyle w:val="ListParagraph"/>
        <w:numPr>
          <w:ilvl w:val="0"/>
          <w:numId w:val="26"/>
        </w:numPr>
        <w:spacing w:after="240"/>
        <w:ind w:hanging="720"/>
        <w:contextualSpacing w:val="0"/>
        <w:jc w:val="both"/>
        <w:rPr>
          <w:rFonts w:ascii="Georgia" w:hAnsi="Georgia"/>
          <w:bCs/>
          <w:i/>
          <w:iCs/>
        </w:rPr>
      </w:pPr>
      <w:r w:rsidRPr="00C04B7D">
        <w:rPr>
          <w:rFonts w:ascii="Georgia" w:hAnsi="Georgia"/>
        </w:rPr>
        <w:t>The Tribunal finds that n</w:t>
      </w:r>
      <w:r w:rsidRPr="00C04B7D">
        <w:rPr>
          <w:rFonts w:ascii="Georgia" w:hAnsi="Georgia"/>
          <w:bCs/>
        </w:rPr>
        <w:t xml:space="preserve">ot all costs claimed </w:t>
      </w:r>
      <w:r w:rsidR="00D916F2">
        <w:rPr>
          <w:rFonts w:ascii="Georgia" w:hAnsi="Georgia"/>
          <w:bCs/>
        </w:rPr>
        <w:t xml:space="preserve">by the applicant </w:t>
      </w:r>
      <w:r w:rsidR="00203572" w:rsidRPr="00C04B7D">
        <w:rPr>
          <w:rFonts w:ascii="Georgia" w:hAnsi="Georgia"/>
          <w:bCs/>
        </w:rPr>
        <w:t xml:space="preserve">are recoverable </w:t>
      </w:r>
      <w:r w:rsidR="004D7FEF">
        <w:rPr>
          <w:rFonts w:ascii="Georgia" w:hAnsi="Georgia"/>
          <w:bCs/>
        </w:rPr>
        <w:t xml:space="preserve">only </w:t>
      </w:r>
      <w:r>
        <w:rPr>
          <w:rFonts w:ascii="Georgia" w:hAnsi="Georgia"/>
          <w:bCs/>
        </w:rPr>
        <w:t>because the costs</w:t>
      </w:r>
      <w:r w:rsidRPr="00C04B7D">
        <w:rPr>
          <w:rFonts w:ascii="Georgia" w:hAnsi="Georgia"/>
          <w:color w:val="000000"/>
          <w:lang w:eastAsia="zh-CN"/>
        </w:rPr>
        <w:t xml:space="preserve"> in respect of such services might have been incurred by </w:t>
      </w:r>
      <w:r w:rsidR="004D7FEF">
        <w:rPr>
          <w:rFonts w:ascii="Georgia" w:hAnsi="Georgia"/>
          <w:color w:val="000000"/>
          <w:lang w:eastAsia="zh-CN"/>
        </w:rPr>
        <w:t>the applicant</w:t>
      </w:r>
      <w:r w:rsidRPr="00C04B7D">
        <w:rPr>
          <w:rFonts w:ascii="Georgia" w:hAnsi="Georgia"/>
          <w:color w:val="000000"/>
          <w:lang w:eastAsia="zh-CN"/>
        </w:rPr>
        <w:t xml:space="preserve"> if the circumstances had been such that he was personally liable for all such costs.</w:t>
      </w:r>
      <w:r>
        <w:rPr>
          <w:rFonts w:ascii="Georgia" w:hAnsi="Georgia"/>
          <w:color w:val="000000"/>
          <w:lang w:eastAsia="zh-CN"/>
        </w:rPr>
        <w:t xml:space="preserve"> The costs must also </w:t>
      </w:r>
      <w:r w:rsidRPr="00C04B7D">
        <w:rPr>
          <w:rFonts w:ascii="Georgia" w:hAnsi="Georgia"/>
          <w:bCs/>
        </w:rPr>
        <w:t>meet the test of reasonableness set out in section 88(2)</w:t>
      </w:r>
      <w:r w:rsidRPr="00C04B7D">
        <w:rPr>
          <w:rFonts w:ascii="Georgia" w:hAnsi="Georgia"/>
          <w:color w:val="000000"/>
          <w:lang w:eastAsia="zh-CN"/>
        </w:rPr>
        <w:t xml:space="preserve">. Any costs incurred by a landlord consequent on a claim by </w:t>
      </w:r>
      <w:proofErr w:type="gramStart"/>
      <w:r w:rsidRPr="00C04B7D">
        <w:rPr>
          <w:rFonts w:ascii="Georgia" w:hAnsi="Georgia"/>
          <w:color w:val="000000"/>
          <w:lang w:eastAsia="zh-CN"/>
        </w:rPr>
        <w:t>a</w:t>
      </w:r>
      <w:proofErr w:type="gramEnd"/>
      <w:r w:rsidRPr="00C04B7D">
        <w:rPr>
          <w:rFonts w:ascii="Georgia" w:hAnsi="Georgia"/>
          <w:color w:val="000000"/>
          <w:lang w:eastAsia="zh-CN"/>
        </w:rPr>
        <w:t xml:space="preserve"> RTM company in respect of professional services rendered to the landlord by another are to be regarded as reasonable only if and to the extent that costs in respect of such services might reasonably be expected to have been incurred by him if the circumstances had been such that he was personally liable for all such costs. </w:t>
      </w:r>
    </w:p>
    <w:p w14:paraId="4B184751" w14:textId="31CE7EA6" w:rsidR="004A05C8" w:rsidRDefault="00E037C5" w:rsidP="00E25530">
      <w:pPr>
        <w:pStyle w:val="ListParagraph"/>
        <w:numPr>
          <w:ilvl w:val="0"/>
          <w:numId w:val="26"/>
        </w:numPr>
        <w:spacing w:after="240"/>
        <w:ind w:hanging="720"/>
        <w:contextualSpacing w:val="0"/>
        <w:jc w:val="both"/>
        <w:rPr>
          <w:rFonts w:ascii="Georgia" w:hAnsi="Georgia"/>
        </w:rPr>
      </w:pPr>
      <w:r>
        <w:rPr>
          <w:rFonts w:ascii="Georgia" w:hAnsi="Georgia"/>
        </w:rPr>
        <w:t>The Tribunal finds</w:t>
      </w:r>
      <w:r w:rsidR="004A05C8">
        <w:rPr>
          <w:rFonts w:ascii="Georgia" w:hAnsi="Georgia"/>
        </w:rPr>
        <w:t xml:space="preserve"> </w:t>
      </w:r>
      <w:proofErr w:type="spellStart"/>
      <w:r w:rsidR="004A05C8">
        <w:rPr>
          <w:rFonts w:ascii="Georgia" w:hAnsi="Georgia"/>
        </w:rPr>
        <w:t>Ms</w:t>
      </w:r>
      <w:proofErr w:type="spellEnd"/>
      <w:r w:rsidR="004A05C8">
        <w:rPr>
          <w:rFonts w:ascii="Georgia" w:hAnsi="Georgia"/>
        </w:rPr>
        <w:t xml:space="preserve"> Scott’s </w:t>
      </w:r>
      <w:r w:rsidR="00E25530">
        <w:rPr>
          <w:rFonts w:ascii="Georgia" w:hAnsi="Georgia"/>
        </w:rPr>
        <w:t>costs</w:t>
      </w:r>
      <w:r w:rsidR="004A05C8">
        <w:rPr>
          <w:rFonts w:ascii="Georgia" w:hAnsi="Georgia"/>
        </w:rPr>
        <w:t xml:space="preserve"> to be reasonable. </w:t>
      </w:r>
      <w:r>
        <w:rPr>
          <w:rFonts w:ascii="Georgia" w:hAnsi="Georgia"/>
        </w:rPr>
        <w:t xml:space="preserve">It finds that it is reasonable for a fee earner of </w:t>
      </w:r>
      <w:proofErr w:type="spellStart"/>
      <w:r>
        <w:rPr>
          <w:rFonts w:ascii="Georgia" w:hAnsi="Georgia"/>
        </w:rPr>
        <w:t>Ms</w:t>
      </w:r>
      <w:proofErr w:type="spellEnd"/>
      <w:r>
        <w:rPr>
          <w:rFonts w:ascii="Georgia" w:hAnsi="Georgia"/>
        </w:rPr>
        <w:t xml:space="preserve"> Scott’s seniority and expertise to be instructed in an RTM application. It finds </w:t>
      </w:r>
      <w:proofErr w:type="spellStart"/>
      <w:r>
        <w:rPr>
          <w:rFonts w:ascii="Georgia" w:hAnsi="Georgia"/>
        </w:rPr>
        <w:t>Ms</w:t>
      </w:r>
      <w:proofErr w:type="spellEnd"/>
      <w:r>
        <w:rPr>
          <w:rFonts w:ascii="Georgia" w:hAnsi="Georgia"/>
        </w:rPr>
        <w:t xml:space="preserve"> Scott’s charge-out rate to be reasonable. and it finds the time spent on the transaction, as broken down by Scott Cohen in its summary assessment, and in the absence of any challenge by the respondent</w:t>
      </w:r>
      <w:r w:rsidR="00203572">
        <w:rPr>
          <w:rFonts w:ascii="Georgia" w:hAnsi="Georgia"/>
        </w:rPr>
        <w:t>,</w:t>
      </w:r>
      <w:r>
        <w:rPr>
          <w:rFonts w:ascii="Georgia" w:hAnsi="Georgia"/>
        </w:rPr>
        <w:t xml:space="preserve"> to be reasonable.</w:t>
      </w:r>
    </w:p>
    <w:p w14:paraId="7D74DD3E" w14:textId="46F2611D" w:rsidR="004A05C8" w:rsidRDefault="004A05C8" w:rsidP="00E037C5">
      <w:pPr>
        <w:pStyle w:val="ListParagraph"/>
        <w:numPr>
          <w:ilvl w:val="0"/>
          <w:numId w:val="26"/>
        </w:numPr>
        <w:spacing w:after="240"/>
        <w:ind w:hanging="720"/>
        <w:contextualSpacing w:val="0"/>
        <w:jc w:val="both"/>
        <w:rPr>
          <w:rFonts w:ascii="Georgia" w:hAnsi="Georgia"/>
        </w:rPr>
      </w:pPr>
      <w:r>
        <w:rPr>
          <w:rFonts w:ascii="Georgia" w:hAnsi="Georgia"/>
        </w:rPr>
        <w:t>The Tribunal therefore finds costs of £</w:t>
      </w:r>
      <w:r w:rsidR="00E037C5">
        <w:rPr>
          <w:rFonts w:ascii="Georgia" w:hAnsi="Georgia"/>
        </w:rPr>
        <w:t>605</w:t>
      </w:r>
      <w:r>
        <w:rPr>
          <w:rFonts w:ascii="Georgia" w:hAnsi="Georgia"/>
        </w:rPr>
        <w:t xml:space="preserve"> plus VAT to be reasonable solicitor’s costs</w:t>
      </w:r>
      <w:r w:rsidR="00E037C5">
        <w:rPr>
          <w:rFonts w:ascii="Georgia" w:hAnsi="Georgia"/>
        </w:rPr>
        <w:t>.</w:t>
      </w:r>
      <w:r>
        <w:rPr>
          <w:rFonts w:ascii="Georgia" w:hAnsi="Georgia"/>
        </w:rPr>
        <w:t xml:space="preserve"> </w:t>
      </w:r>
    </w:p>
    <w:p w14:paraId="0758862B" w14:textId="62078952" w:rsidR="004A05C8" w:rsidRDefault="00E037C5" w:rsidP="004A05C8">
      <w:pPr>
        <w:pStyle w:val="ListParagraph"/>
        <w:numPr>
          <w:ilvl w:val="0"/>
          <w:numId w:val="26"/>
        </w:numPr>
        <w:spacing w:after="240"/>
        <w:ind w:hanging="720"/>
        <w:contextualSpacing w:val="0"/>
        <w:jc w:val="both"/>
        <w:rPr>
          <w:rFonts w:ascii="Georgia" w:hAnsi="Georgia"/>
        </w:rPr>
      </w:pPr>
      <w:r>
        <w:rPr>
          <w:rFonts w:ascii="Georgia" w:hAnsi="Georgia"/>
        </w:rPr>
        <w:t xml:space="preserve">There was no challenge to the disbursement of £6.85 plus VAT </w:t>
      </w:r>
      <w:r w:rsidR="004A05C8">
        <w:rPr>
          <w:rFonts w:ascii="Georgia" w:hAnsi="Georgia"/>
        </w:rPr>
        <w:t>and the</w:t>
      </w:r>
      <w:r>
        <w:rPr>
          <w:rFonts w:ascii="Georgia" w:hAnsi="Georgia"/>
        </w:rPr>
        <w:t xml:space="preserve"> Tribunal</w:t>
      </w:r>
      <w:r w:rsidR="004A05C8">
        <w:rPr>
          <w:rFonts w:ascii="Georgia" w:hAnsi="Georgia"/>
        </w:rPr>
        <w:t xml:space="preserve"> finds this </w:t>
      </w:r>
      <w:r>
        <w:rPr>
          <w:rFonts w:ascii="Georgia" w:hAnsi="Georgia"/>
        </w:rPr>
        <w:t>disbursement to be reasonable.</w:t>
      </w:r>
    </w:p>
    <w:p w14:paraId="3F63CB7C" w14:textId="01AA8F0C" w:rsidR="00250D6D" w:rsidRDefault="00E037C5" w:rsidP="004A05C8">
      <w:pPr>
        <w:pStyle w:val="ListParagraph"/>
        <w:numPr>
          <w:ilvl w:val="0"/>
          <w:numId w:val="26"/>
        </w:numPr>
        <w:spacing w:after="240"/>
        <w:ind w:hanging="720"/>
        <w:contextualSpacing w:val="0"/>
        <w:jc w:val="both"/>
        <w:rPr>
          <w:rFonts w:ascii="Georgia" w:hAnsi="Georgia"/>
        </w:rPr>
      </w:pPr>
      <w:r>
        <w:rPr>
          <w:rFonts w:ascii="Georgia" w:hAnsi="Georgia"/>
        </w:rPr>
        <w:t xml:space="preserve">As for </w:t>
      </w:r>
      <w:proofErr w:type="spellStart"/>
      <w:r>
        <w:rPr>
          <w:rFonts w:ascii="Georgia" w:hAnsi="Georgia"/>
        </w:rPr>
        <w:t>Eagerstates</w:t>
      </w:r>
      <w:proofErr w:type="spellEnd"/>
      <w:r>
        <w:rPr>
          <w:rFonts w:ascii="Georgia" w:hAnsi="Georgia"/>
        </w:rPr>
        <w:t xml:space="preserve">’ fees </w:t>
      </w:r>
      <w:r w:rsidR="00250D6D">
        <w:rPr>
          <w:rFonts w:ascii="Georgia" w:hAnsi="Georgia"/>
        </w:rPr>
        <w:t>t</w:t>
      </w:r>
      <w:r w:rsidR="00250D6D" w:rsidRPr="00D0486F">
        <w:rPr>
          <w:rFonts w:ascii="Georgia" w:hAnsi="Georgia"/>
        </w:rPr>
        <w:t xml:space="preserve">he tribunal accept </w:t>
      </w:r>
      <w:proofErr w:type="gramStart"/>
      <w:r w:rsidR="00250D6D" w:rsidRPr="00D0486F">
        <w:rPr>
          <w:rFonts w:ascii="Georgia" w:hAnsi="Georgia"/>
        </w:rPr>
        <w:t xml:space="preserve">that </w:t>
      </w:r>
      <w:r w:rsidR="00250D6D">
        <w:rPr>
          <w:rFonts w:ascii="Georgia" w:hAnsi="Georgia"/>
        </w:rPr>
        <w:t xml:space="preserve"> managing</w:t>
      </w:r>
      <w:proofErr w:type="gramEnd"/>
      <w:r w:rsidR="00250D6D">
        <w:rPr>
          <w:rFonts w:ascii="Georgia" w:hAnsi="Georgia"/>
        </w:rPr>
        <w:t xml:space="preserve"> agent involvement is common in RTM applications and that, as decided in </w:t>
      </w:r>
      <w:r w:rsidR="00250D6D" w:rsidRPr="002B3AB3">
        <w:rPr>
          <w:rFonts w:ascii="Georgia" w:hAnsi="Georgia"/>
          <w:b/>
          <w:bCs/>
          <w:i/>
          <w:iCs/>
        </w:rPr>
        <w:t>Columbia</w:t>
      </w:r>
      <w:r w:rsidR="00203572">
        <w:rPr>
          <w:rFonts w:ascii="Georgia" w:hAnsi="Georgia"/>
          <w:b/>
          <w:bCs/>
          <w:i/>
          <w:iCs/>
        </w:rPr>
        <w:t>,</w:t>
      </w:r>
      <w:r w:rsidR="00250D6D">
        <w:rPr>
          <w:rFonts w:ascii="Georgia" w:hAnsi="Georgia"/>
        </w:rPr>
        <w:t xml:space="preserve"> a management fee may be recovered under s88(2). </w:t>
      </w:r>
    </w:p>
    <w:p w14:paraId="077F7CD8" w14:textId="722078D8" w:rsidR="004A05C8" w:rsidRDefault="006F7D71" w:rsidP="00250D6D">
      <w:pPr>
        <w:pStyle w:val="ListParagraph"/>
        <w:numPr>
          <w:ilvl w:val="0"/>
          <w:numId w:val="26"/>
        </w:numPr>
        <w:spacing w:after="240"/>
        <w:ind w:hanging="720"/>
        <w:contextualSpacing w:val="0"/>
        <w:jc w:val="both"/>
        <w:rPr>
          <w:rFonts w:ascii="Georgia" w:hAnsi="Georgia"/>
        </w:rPr>
      </w:pPr>
      <w:r>
        <w:rPr>
          <w:rFonts w:ascii="Georgia" w:hAnsi="Georgia"/>
        </w:rPr>
        <w:lastRenderedPageBreak/>
        <w:t>T</w:t>
      </w:r>
      <w:r w:rsidRPr="00250D6D">
        <w:rPr>
          <w:rFonts w:ascii="Georgia" w:hAnsi="Georgia"/>
        </w:rPr>
        <w:t xml:space="preserve">here is nothing in the bundle before the tribunal to evidence that </w:t>
      </w:r>
      <w:proofErr w:type="spellStart"/>
      <w:r w:rsidRPr="00250D6D">
        <w:rPr>
          <w:rFonts w:ascii="Georgia" w:hAnsi="Georgia"/>
        </w:rPr>
        <w:t>Eagerstates</w:t>
      </w:r>
      <w:proofErr w:type="spellEnd"/>
      <w:r w:rsidRPr="00250D6D">
        <w:rPr>
          <w:rFonts w:ascii="Georgia" w:hAnsi="Georgia"/>
        </w:rPr>
        <w:t xml:space="preserve"> were involved in the </w:t>
      </w:r>
      <w:proofErr w:type="gramStart"/>
      <w:r w:rsidRPr="00250D6D">
        <w:rPr>
          <w:rFonts w:ascii="Georgia" w:hAnsi="Georgia"/>
        </w:rPr>
        <w:t>application</w:t>
      </w:r>
      <w:r>
        <w:rPr>
          <w:rFonts w:ascii="Georgia" w:hAnsi="Georgia"/>
        </w:rPr>
        <w:t>,</w:t>
      </w:r>
      <w:r w:rsidRPr="00250D6D">
        <w:rPr>
          <w:rFonts w:ascii="Georgia" w:hAnsi="Georgia"/>
        </w:rPr>
        <w:t xml:space="preserve">  that</w:t>
      </w:r>
      <w:proofErr w:type="gramEnd"/>
      <w:r w:rsidRPr="00250D6D">
        <w:rPr>
          <w:rFonts w:ascii="Georgia" w:hAnsi="Georgia"/>
        </w:rPr>
        <w:t xml:space="preserve"> acting on an RTM Claim Notice entitles it to charge a fee additional to its annual fee</w:t>
      </w:r>
      <w:r>
        <w:rPr>
          <w:rFonts w:ascii="Georgia" w:hAnsi="Georgia"/>
        </w:rPr>
        <w:t xml:space="preserve"> or as to how a fee of £400 was calculated</w:t>
      </w:r>
      <w:r w:rsidRPr="00250D6D">
        <w:rPr>
          <w:rFonts w:ascii="Georgia" w:hAnsi="Georgia"/>
        </w:rPr>
        <w:t xml:space="preserve">. </w:t>
      </w:r>
      <w:r>
        <w:rPr>
          <w:rFonts w:ascii="Georgia" w:hAnsi="Georgia"/>
        </w:rPr>
        <w:t>T</w:t>
      </w:r>
      <w:r w:rsidR="00E037C5">
        <w:rPr>
          <w:rFonts w:ascii="Georgia" w:hAnsi="Georgia"/>
        </w:rPr>
        <w:t xml:space="preserve">he bundle </w:t>
      </w:r>
      <w:r>
        <w:rPr>
          <w:rFonts w:ascii="Georgia" w:hAnsi="Georgia"/>
        </w:rPr>
        <w:t xml:space="preserve">does not </w:t>
      </w:r>
      <w:r w:rsidR="00E037C5">
        <w:rPr>
          <w:rFonts w:ascii="Georgia" w:hAnsi="Georgia"/>
        </w:rPr>
        <w:t>contain the Appendix</w:t>
      </w:r>
      <w:r w:rsidR="00250D6D">
        <w:rPr>
          <w:rFonts w:ascii="Georgia" w:hAnsi="Georgia"/>
        </w:rPr>
        <w:t xml:space="preserve"> 3 of the management agreement referred to in the applicant’s statement of case which might have assisted</w:t>
      </w:r>
      <w:r>
        <w:rPr>
          <w:rFonts w:ascii="Georgia" w:hAnsi="Georgia"/>
        </w:rPr>
        <w:t xml:space="preserve"> in clarifying that </w:t>
      </w:r>
      <w:proofErr w:type="spellStart"/>
      <w:r>
        <w:rPr>
          <w:rFonts w:ascii="Georgia" w:hAnsi="Georgia"/>
        </w:rPr>
        <w:t>Eagerstates</w:t>
      </w:r>
      <w:proofErr w:type="spellEnd"/>
      <w:r>
        <w:rPr>
          <w:rFonts w:ascii="Georgia" w:hAnsi="Georgia"/>
        </w:rPr>
        <w:t xml:space="preserve"> was entitled to charge an additional fee.</w:t>
      </w:r>
      <w:r w:rsidR="00250D6D">
        <w:rPr>
          <w:rFonts w:ascii="Georgia" w:hAnsi="Georgia"/>
        </w:rPr>
        <w:t xml:space="preserve"> </w:t>
      </w:r>
      <w:r w:rsidR="00D0486F" w:rsidRPr="00250D6D">
        <w:rPr>
          <w:rFonts w:ascii="Georgia" w:hAnsi="Georgia"/>
        </w:rPr>
        <w:t xml:space="preserve">There is no invoice from </w:t>
      </w:r>
      <w:r w:rsidR="00250D6D" w:rsidRPr="00250D6D">
        <w:rPr>
          <w:rFonts w:ascii="Georgia" w:hAnsi="Georgia"/>
        </w:rPr>
        <w:t>it</w:t>
      </w:r>
      <w:r w:rsidR="00D0486F" w:rsidRPr="00250D6D">
        <w:rPr>
          <w:rFonts w:ascii="Georgia" w:hAnsi="Georgia"/>
        </w:rPr>
        <w:t>.</w:t>
      </w:r>
      <w:r w:rsidR="00250D6D" w:rsidRPr="00250D6D">
        <w:rPr>
          <w:rFonts w:ascii="Georgia" w:hAnsi="Georgia"/>
        </w:rPr>
        <w:t xml:space="preserve"> There is no evidence as to how a fee of £400 </w:t>
      </w:r>
      <w:r>
        <w:rPr>
          <w:rFonts w:ascii="Georgia" w:hAnsi="Georgia"/>
        </w:rPr>
        <w:t>might be</w:t>
      </w:r>
      <w:r w:rsidR="00250D6D" w:rsidRPr="00250D6D">
        <w:rPr>
          <w:rFonts w:ascii="Georgia" w:hAnsi="Georgia"/>
        </w:rPr>
        <w:t xml:space="preserve"> calculated. </w:t>
      </w:r>
      <w:r w:rsidR="00203572">
        <w:rPr>
          <w:rFonts w:ascii="Georgia" w:hAnsi="Georgia"/>
        </w:rPr>
        <w:t>It is simply referred to as a disbursement in the summary of costs provided by the applicant. It is not referred to in Scott Cohen’s pro forma invoice.</w:t>
      </w:r>
    </w:p>
    <w:p w14:paraId="4F18556E" w14:textId="3F5900CB" w:rsidR="006F7D71" w:rsidRPr="00250D6D" w:rsidRDefault="006F7D71" w:rsidP="00250D6D">
      <w:pPr>
        <w:pStyle w:val="ListParagraph"/>
        <w:numPr>
          <w:ilvl w:val="0"/>
          <w:numId w:val="26"/>
        </w:numPr>
        <w:spacing w:after="240"/>
        <w:ind w:hanging="720"/>
        <w:contextualSpacing w:val="0"/>
        <w:jc w:val="both"/>
        <w:rPr>
          <w:rFonts w:ascii="Georgia" w:hAnsi="Georgia"/>
        </w:rPr>
      </w:pPr>
      <w:r>
        <w:rPr>
          <w:rFonts w:ascii="Georgia" w:hAnsi="Georgia"/>
        </w:rPr>
        <w:t xml:space="preserve">In the absence of any evidence </w:t>
      </w:r>
      <w:r w:rsidR="00203572">
        <w:rPr>
          <w:rFonts w:ascii="Georgia" w:hAnsi="Georgia"/>
        </w:rPr>
        <w:t xml:space="preserve">as to the same </w:t>
      </w:r>
      <w:r>
        <w:rPr>
          <w:rFonts w:ascii="Georgia" w:hAnsi="Georgia"/>
        </w:rPr>
        <w:t xml:space="preserve">the tribunal disallows the claim for </w:t>
      </w:r>
      <w:proofErr w:type="spellStart"/>
      <w:r>
        <w:rPr>
          <w:rFonts w:ascii="Georgia" w:hAnsi="Georgia"/>
        </w:rPr>
        <w:t>Eagerstates</w:t>
      </w:r>
      <w:proofErr w:type="spellEnd"/>
      <w:r>
        <w:rPr>
          <w:rFonts w:ascii="Georgia" w:hAnsi="Georgia"/>
        </w:rPr>
        <w:t>’ fees.</w:t>
      </w:r>
    </w:p>
    <w:tbl>
      <w:tblPr>
        <w:tblW w:w="8595" w:type="dxa"/>
        <w:tblLook w:val="01E0" w:firstRow="1" w:lastRow="1" w:firstColumn="1" w:lastColumn="1" w:noHBand="0" w:noVBand="0"/>
      </w:tblPr>
      <w:tblGrid>
        <w:gridCol w:w="1353"/>
        <w:gridCol w:w="3291"/>
        <w:gridCol w:w="995"/>
        <w:gridCol w:w="2956"/>
      </w:tblGrid>
      <w:tr w:rsidR="004A05C8" w:rsidRPr="006525BE" w14:paraId="6B45AD99" w14:textId="77777777" w:rsidTr="00857B56">
        <w:trPr>
          <w:trHeight w:val="587"/>
        </w:trPr>
        <w:tc>
          <w:tcPr>
            <w:tcW w:w="1353" w:type="dxa"/>
            <w:shd w:val="clear" w:color="auto" w:fill="auto"/>
            <w:vAlign w:val="center"/>
          </w:tcPr>
          <w:p w14:paraId="40E5200B" w14:textId="77777777" w:rsidR="004A05C8" w:rsidRPr="006525BE" w:rsidRDefault="004A05C8" w:rsidP="00857B56">
            <w:pPr>
              <w:jc w:val="both"/>
              <w:rPr>
                <w:rFonts w:ascii="Georgia" w:hAnsi="Georgia" w:cs="Arial"/>
                <w:b/>
              </w:rPr>
            </w:pPr>
            <w:r w:rsidRPr="006525BE">
              <w:rPr>
                <w:rFonts w:ascii="Georgia" w:hAnsi="Georgia" w:cs="Arial"/>
                <w:b/>
              </w:rPr>
              <w:t>Name:</w:t>
            </w:r>
          </w:p>
        </w:tc>
        <w:tc>
          <w:tcPr>
            <w:tcW w:w="3291" w:type="dxa"/>
            <w:shd w:val="clear" w:color="auto" w:fill="auto"/>
            <w:vAlign w:val="center"/>
          </w:tcPr>
          <w:p w14:paraId="310B1AF7" w14:textId="77777777" w:rsidR="004A05C8" w:rsidRPr="006525BE" w:rsidRDefault="004A05C8" w:rsidP="00857B56">
            <w:pPr>
              <w:jc w:val="both"/>
              <w:rPr>
                <w:rFonts w:ascii="Georgia" w:hAnsi="Georgia" w:cs="Arial"/>
              </w:rPr>
            </w:pPr>
            <w:r>
              <w:rPr>
                <w:rFonts w:ascii="Georgia" w:hAnsi="Georgia" w:cs="Arial"/>
              </w:rPr>
              <w:t>Judge Pittaway</w:t>
            </w:r>
          </w:p>
        </w:tc>
        <w:tc>
          <w:tcPr>
            <w:tcW w:w="995" w:type="dxa"/>
            <w:shd w:val="clear" w:color="auto" w:fill="auto"/>
            <w:vAlign w:val="center"/>
          </w:tcPr>
          <w:p w14:paraId="12164ED3" w14:textId="77777777" w:rsidR="004A05C8" w:rsidRPr="006525BE" w:rsidRDefault="004A05C8" w:rsidP="00857B56">
            <w:pPr>
              <w:jc w:val="both"/>
              <w:rPr>
                <w:rFonts w:ascii="Georgia" w:hAnsi="Georgia" w:cs="Arial"/>
                <w:b/>
              </w:rPr>
            </w:pPr>
            <w:r w:rsidRPr="006525BE">
              <w:rPr>
                <w:rFonts w:ascii="Georgia" w:hAnsi="Georgia" w:cs="Arial"/>
                <w:b/>
              </w:rPr>
              <w:t>Date:</w:t>
            </w:r>
          </w:p>
        </w:tc>
        <w:tc>
          <w:tcPr>
            <w:tcW w:w="2956" w:type="dxa"/>
            <w:shd w:val="clear" w:color="auto" w:fill="auto"/>
            <w:vAlign w:val="center"/>
          </w:tcPr>
          <w:p w14:paraId="7CDAA700" w14:textId="34DFBDE6" w:rsidR="004A05C8" w:rsidRPr="006525BE" w:rsidRDefault="00203572" w:rsidP="00857B56">
            <w:pPr>
              <w:jc w:val="both"/>
              <w:rPr>
                <w:rFonts w:ascii="Georgia" w:hAnsi="Georgia" w:cs="Arial"/>
              </w:rPr>
            </w:pPr>
            <w:r>
              <w:rPr>
                <w:rFonts w:ascii="Georgia" w:hAnsi="Georgia" w:cs="Arial"/>
              </w:rPr>
              <w:t>10 August 2023</w:t>
            </w:r>
          </w:p>
        </w:tc>
      </w:tr>
    </w:tbl>
    <w:p w14:paraId="6B21B77F" w14:textId="77777777" w:rsidR="004A05C8" w:rsidRDefault="004A05C8" w:rsidP="004A05C8">
      <w:pPr>
        <w:jc w:val="both"/>
        <w:rPr>
          <w:rFonts w:ascii="Georgia" w:hAnsi="Georgia" w:cs="Arial"/>
        </w:rPr>
      </w:pPr>
    </w:p>
    <w:p w14:paraId="07897927" w14:textId="77777777" w:rsidR="004A05C8" w:rsidRDefault="004A05C8" w:rsidP="004A05C8">
      <w:pPr>
        <w:pStyle w:val="NormalWeb"/>
        <w:jc w:val="center"/>
        <w:rPr>
          <w:lang w:eastAsia="zh-CN"/>
        </w:rPr>
      </w:pPr>
      <w:r>
        <w:rPr>
          <w:rFonts w:ascii="Georgia" w:hAnsi="Georgia"/>
          <w:b/>
          <w:bCs/>
        </w:rPr>
        <w:t>Rights of appeal</w:t>
      </w:r>
    </w:p>
    <w:p w14:paraId="3FF983F1" w14:textId="77777777" w:rsidR="004A05C8" w:rsidRPr="00AC75B0" w:rsidRDefault="004A05C8" w:rsidP="004A05C8">
      <w:pPr>
        <w:pStyle w:val="NormalWeb"/>
        <w:rPr>
          <w:b/>
          <w:bCs/>
        </w:rPr>
      </w:pPr>
      <w:r w:rsidRPr="00AC75B0">
        <w:rPr>
          <w:rFonts w:ascii="Georgia" w:hAnsi="Georgia"/>
          <w:b/>
          <w:bCs/>
        </w:rPr>
        <w:t xml:space="preserve">By rule 36(2) of the Tribunal Procedure (First-tier Tribunal) (Property Chamber) Rules 2013, the tribunal is required to notify the parties about any right of appeal they may have. </w:t>
      </w:r>
    </w:p>
    <w:p w14:paraId="624785EC" w14:textId="77777777" w:rsidR="004A05C8" w:rsidRPr="00AC75B0" w:rsidRDefault="004A05C8" w:rsidP="004A05C8">
      <w:pPr>
        <w:pStyle w:val="NormalWeb"/>
        <w:rPr>
          <w:b/>
          <w:bCs/>
        </w:rPr>
      </w:pPr>
      <w:r w:rsidRPr="00AC75B0">
        <w:rPr>
          <w:rFonts w:ascii="Georgia" w:hAnsi="Georgia"/>
          <w:b/>
          <w:bCs/>
        </w:rPr>
        <w:t xml:space="preserve">If a party wishes to appeal this decision to the Upper Tribunal (Lands Chamber), then a written application for permission must be made to the First- tier Tribunal at the regional office which has been dealing with the case. </w:t>
      </w:r>
    </w:p>
    <w:p w14:paraId="6CE9929D" w14:textId="77777777" w:rsidR="004A05C8" w:rsidRPr="00AC75B0" w:rsidRDefault="004A05C8" w:rsidP="004A05C8">
      <w:pPr>
        <w:pStyle w:val="NormalWeb"/>
        <w:rPr>
          <w:b/>
          <w:bCs/>
        </w:rPr>
      </w:pPr>
      <w:r w:rsidRPr="00AC75B0">
        <w:rPr>
          <w:rFonts w:ascii="Georgia" w:hAnsi="Georgia"/>
          <w:b/>
          <w:bCs/>
        </w:rPr>
        <w:t xml:space="preserve">The application for permission to appeal must arrive at the regional office within 28 days after the tribunal sends written reasons for the decision to the person making the application. </w:t>
      </w:r>
    </w:p>
    <w:p w14:paraId="57AA6FBE" w14:textId="77777777" w:rsidR="004A05C8" w:rsidRPr="00AC75B0" w:rsidRDefault="004A05C8" w:rsidP="004A05C8">
      <w:pPr>
        <w:pStyle w:val="NormalWeb"/>
        <w:rPr>
          <w:b/>
          <w:bCs/>
        </w:rPr>
      </w:pPr>
      <w:r w:rsidRPr="00AC75B0">
        <w:rPr>
          <w:rFonts w:ascii="Georgia" w:hAnsi="Georgia"/>
          <w:b/>
          <w:bCs/>
        </w:rPr>
        <w:t xml:space="preserve">If the application is not made within the 28-day time limit, such application must include a request for an extension of time and the reason for not complying with the 28-day time limit; the tribunal will then look at such reason(s) and decide whether to allow the application for permission to appeal to proceed, despite not being within the time limit. </w:t>
      </w:r>
    </w:p>
    <w:p w14:paraId="408DBCA4" w14:textId="77777777" w:rsidR="004A05C8" w:rsidRPr="00AC75B0" w:rsidRDefault="004A05C8" w:rsidP="004A05C8">
      <w:pPr>
        <w:pStyle w:val="NormalWeb"/>
        <w:rPr>
          <w:b/>
          <w:bCs/>
        </w:rPr>
      </w:pPr>
      <w:r w:rsidRPr="00AC75B0">
        <w:rPr>
          <w:rFonts w:ascii="Georgia" w:hAnsi="Georgia"/>
          <w:b/>
          <w:bCs/>
        </w:rPr>
        <w:t>The application for permission to appeal must identify the decision of the tribunal to which it relates (</w:t>
      </w:r>
      <w:proofErr w:type="gramStart"/>
      <w:r w:rsidRPr="00AC75B0">
        <w:rPr>
          <w:rFonts w:ascii="Georgia" w:hAnsi="Georgia"/>
          <w:b/>
          <w:bCs/>
        </w:rPr>
        <w:t>i.e.</w:t>
      </w:r>
      <w:proofErr w:type="gramEnd"/>
      <w:r w:rsidRPr="00AC75B0">
        <w:rPr>
          <w:rFonts w:ascii="Georgia" w:hAnsi="Georgia"/>
          <w:b/>
          <w:bCs/>
        </w:rPr>
        <w:t xml:space="preserve"> give the date, the property and the case number), state the grounds of appeal and state the result the party making the application is seeking. </w:t>
      </w:r>
    </w:p>
    <w:p w14:paraId="188AB9A5" w14:textId="77777777" w:rsidR="004A05C8" w:rsidRPr="00AC75B0" w:rsidRDefault="004A05C8" w:rsidP="004A05C8">
      <w:pPr>
        <w:pStyle w:val="NormalWeb"/>
        <w:rPr>
          <w:b/>
          <w:bCs/>
        </w:rPr>
      </w:pPr>
      <w:r w:rsidRPr="00AC75B0">
        <w:rPr>
          <w:rFonts w:ascii="Georgia" w:hAnsi="Georgia"/>
          <w:b/>
          <w:bCs/>
        </w:rPr>
        <w:t xml:space="preserve">If the tribunal refuses to grant permission to appeal, a further application for permission may be made to the Upper Tribunal (Lands Chamber). </w:t>
      </w:r>
    </w:p>
    <w:p w14:paraId="1D00AF28" w14:textId="77777777" w:rsidR="004A05C8" w:rsidRPr="00AC75B0" w:rsidRDefault="004A05C8" w:rsidP="004A05C8">
      <w:pPr>
        <w:rPr>
          <w:b/>
          <w:bCs/>
        </w:rPr>
      </w:pPr>
    </w:p>
    <w:p w14:paraId="3E4C5E8F" w14:textId="77777777" w:rsidR="004A05C8" w:rsidRPr="00AC75B0" w:rsidRDefault="004A05C8" w:rsidP="004A05C8">
      <w:pPr>
        <w:jc w:val="both"/>
        <w:rPr>
          <w:rFonts w:ascii="Georgia" w:hAnsi="Georgia" w:cs="Arial"/>
          <w:b/>
          <w:bCs/>
        </w:rPr>
      </w:pPr>
    </w:p>
    <w:p w14:paraId="12D4634D" w14:textId="77777777" w:rsidR="004A05C8" w:rsidRPr="00AC75B0" w:rsidRDefault="004A05C8" w:rsidP="004A05C8">
      <w:pPr>
        <w:spacing w:after="240"/>
        <w:rPr>
          <w:rFonts w:ascii="Georgia" w:hAnsi="Georgia" w:cs="Arial"/>
          <w:b/>
          <w:bCs/>
        </w:rPr>
      </w:pPr>
    </w:p>
    <w:p w14:paraId="43B041CF" w14:textId="77777777" w:rsidR="00962CA7" w:rsidRDefault="00962CA7"/>
    <w:sectPr w:rsidR="00962CA7" w:rsidSect="007429F2">
      <w:footerReference w:type="even" r:id="rId8"/>
      <w:footerReference w:type="default" r:id="rId9"/>
      <w:footerReference w:type="first" r:id="rId10"/>
      <w:pgSz w:w="11906" w:h="16838" w:code="9"/>
      <w:pgMar w:top="1746"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89A7" w14:textId="77777777" w:rsidR="008C52E3" w:rsidRDefault="008C52E3">
      <w:r>
        <w:separator/>
      </w:r>
    </w:p>
  </w:endnote>
  <w:endnote w:type="continuationSeparator" w:id="0">
    <w:p w14:paraId="76A46EA5" w14:textId="77777777" w:rsidR="008C52E3" w:rsidRDefault="008C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liss 2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543B" w14:textId="77777777" w:rsidR="00962CA7" w:rsidRDefault="001049F7" w:rsidP="00742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B4ED3" w14:textId="77777777" w:rsidR="00962CA7" w:rsidRDefault="00962CA7" w:rsidP="00742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E7C3" w14:textId="77777777" w:rsidR="00962CA7" w:rsidRPr="00C8312C" w:rsidRDefault="001049F7" w:rsidP="007429F2">
    <w:pPr>
      <w:pStyle w:val="Footer"/>
      <w:ind w:right="360"/>
      <w:jc w:val="center"/>
      <w:rPr>
        <w:rFonts w:ascii="Georgia" w:hAnsi="Georgia" w:cs="Arial"/>
      </w:rPr>
    </w:pPr>
    <w:r w:rsidRPr="00C8312C">
      <w:rPr>
        <w:rStyle w:val="PageNumber"/>
        <w:rFonts w:ascii="Georgia" w:hAnsi="Georgia"/>
      </w:rPr>
      <w:fldChar w:fldCharType="begin"/>
    </w:r>
    <w:r w:rsidRPr="00C8312C">
      <w:rPr>
        <w:rStyle w:val="PageNumber"/>
        <w:rFonts w:ascii="Georgia" w:hAnsi="Georgia"/>
      </w:rPr>
      <w:instrText xml:space="preserve"> PAGE </w:instrText>
    </w:r>
    <w:r w:rsidRPr="00C8312C">
      <w:rPr>
        <w:rStyle w:val="PageNumber"/>
        <w:rFonts w:ascii="Georgia" w:hAnsi="Georgia"/>
      </w:rPr>
      <w:fldChar w:fldCharType="separate"/>
    </w:r>
    <w:r>
      <w:rPr>
        <w:rStyle w:val="PageNumber"/>
        <w:rFonts w:ascii="Georgia" w:hAnsi="Georgia"/>
        <w:noProof/>
      </w:rPr>
      <w:t>5</w:t>
    </w:r>
    <w:r w:rsidRPr="00C8312C">
      <w:rPr>
        <w:rStyle w:val="PageNumber"/>
        <w:rFonts w:ascii="Georgia" w:hAnsi="Georg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C6B3" w14:textId="77777777" w:rsidR="00962CA7" w:rsidRDefault="001049F7" w:rsidP="007429F2">
    <w:pPr>
      <w:pStyle w:val="Footer"/>
      <w:ind w:right="360"/>
      <w:jc w:val="center"/>
      <w:rPr>
        <w:rFonts w:ascii="Georgia" w:hAnsi="Georgia"/>
        <w:sz w:val="20"/>
        <w:szCs w:val="20"/>
      </w:rPr>
    </w:pPr>
    <w:r>
      <w:rPr>
        <w:rFonts w:ascii="Georgia" w:hAnsi="Georgia"/>
        <w:sz w:val="20"/>
        <w:szCs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51DF" w14:textId="77777777" w:rsidR="008C52E3" w:rsidRDefault="008C52E3">
      <w:r>
        <w:separator/>
      </w:r>
    </w:p>
  </w:footnote>
  <w:footnote w:type="continuationSeparator" w:id="0">
    <w:p w14:paraId="58EC6FA1" w14:textId="77777777" w:rsidR="008C52E3" w:rsidRDefault="008C5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404"/>
    <w:multiLevelType w:val="hybridMultilevel"/>
    <w:tmpl w:val="1C509000"/>
    <w:lvl w:ilvl="0" w:tplc="DB721D26">
      <w:start w:val="1"/>
      <w:numFmt w:val="lowerLetter"/>
      <w:lvlText w:val="(%1)"/>
      <w:lvlJc w:val="left"/>
      <w:pPr>
        <w:tabs>
          <w:tab w:val="num" w:pos="1647"/>
        </w:tabs>
        <w:ind w:left="1647" w:hanging="567"/>
      </w:pPr>
      <w:rPr>
        <w:rFonts w:ascii="Georgia" w:hAnsi="Georgia" w:hint="default"/>
        <w:b w:val="0"/>
        <w:i w:val="0"/>
        <w:color w:val="auto"/>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7601653"/>
    <w:multiLevelType w:val="hybridMultilevel"/>
    <w:tmpl w:val="C77EBFAE"/>
    <w:lvl w:ilvl="0" w:tplc="3F3A0BB6">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7DB8"/>
    <w:multiLevelType w:val="hybridMultilevel"/>
    <w:tmpl w:val="979CDD1C"/>
    <w:lvl w:ilvl="0" w:tplc="B02ABD8C">
      <w:start w:val="1"/>
      <w:numFmt w:val="lowerRoman"/>
      <w:lvlText w:val="(%1)"/>
      <w:lvlJc w:val="left"/>
      <w:pPr>
        <w:tabs>
          <w:tab w:val="num" w:pos="1287"/>
        </w:tabs>
        <w:ind w:left="1287" w:hanging="567"/>
      </w:pPr>
      <w:rPr>
        <w:rFonts w:ascii="Georgia" w:hAnsi="Georgia"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383AF2"/>
    <w:multiLevelType w:val="hybridMultilevel"/>
    <w:tmpl w:val="19F0909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4" w15:restartNumberingAfterBreak="0">
    <w:nsid w:val="13943E5A"/>
    <w:multiLevelType w:val="multilevel"/>
    <w:tmpl w:val="83B4F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0481F"/>
    <w:multiLevelType w:val="hybridMultilevel"/>
    <w:tmpl w:val="98546640"/>
    <w:lvl w:ilvl="0" w:tplc="6D26E1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494747B"/>
    <w:multiLevelType w:val="multilevel"/>
    <w:tmpl w:val="C58C44EC"/>
    <w:lvl w:ilvl="0">
      <w:start w:val="1"/>
      <w:numFmt w:val="none"/>
      <w:pStyle w:val="DirectionHeading"/>
      <w:lvlText w:val=""/>
      <w:lvlJc w:val="left"/>
      <w:pPr>
        <w:tabs>
          <w:tab w:val="num" w:pos="0"/>
        </w:tabs>
        <w:ind w:left="0" w:firstLine="0"/>
      </w:pPr>
      <w:rPr>
        <w:rFonts w:hint="default"/>
        <w:b w:val="0"/>
        <w:i w:val="0"/>
      </w:rPr>
    </w:lvl>
    <w:lvl w:ilvl="1">
      <w:start w:val="1"/>
      <w:numFmt w:val="decimal"/>
      <w:lvlRestart w:val="0"/>
      <w:pStyle w:val="Directions"/>
      <w:lvlText w:val="%2."/>
      <w:lvlJc w:val="left"/>
      <w:pPr>
        <w:tabs>
          <w:tab w:val="num" w:pos="720"/>
        </w:tabs>
        <w:ind w:left="720" w:hanging="720"/>
      </w:pPr>
      <w:rPr>
        <w:rFonts w:hint="default"/>
        <w:b/>
        <w:i w:val="0"/>
      </w:rPr>
    </w:lvl>
    <w:lvl w:ilvl="2">
      <w:start w:val="1"/>
      <w:numFmt w:val="lowerLetter"/>
      <w:lvlText w:val="(%3)"/>
      <w:lvlJc w:val="left"/>
      <w:pPr>
        <w:tabs>
          <w:tab w:val="num" w:pos="1440"/>
        </w:tabs>
        <w:ind w:left="1440" w:hanging="720"/>
      </w:pPr>
      <w:rPr>
        <w:rFonts w:hint="default"/>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2160"/>
        </w:tabs>
        <w:ind w:left="2160" w:hanging="72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2160"/>
        </w:tabs>
        <w:ind w:left="2160" w:firstLine="0"/>
      </w:pPr>
      <w:rPr>
        <w:rFonts w:hint="default"/>
        <w:b w:val="0"/>
        <w:i w:val="0"/>
        <w:color w:val="auto"/>
      </w:rPr>
    </w:lvl>
    <w:lvl w:ilvl="7">
      <w:start w:val="1"/>
      <w:numFmt w:val="lowerLetter"/>
      <w:lvlText w:val="(%8)"/>
      <w:lvlJc w:val="left"/>
      <w:pPr>
        <w:tabs>
          <w:tab w:val="num" w:pos="1440"/>
        </w:tabs>
        <w:ind w:left="1440" w:hanging="720"/>
      </w:pPr>
      <w:rPr>
        <w:rFonts w:hint="default"/>
        <w:b w:val="0"/>
        <w:i w:val="0"/>
        <w:color w:val="auto"/>
      </w:rPr>
    </w:lvl>
    <w:lvl w:ilvl="8">
      <w:start w:val="1"/>
      <w:numFmt w:val="bullet"/>
      <w:lvlText w:val=""/>
      <w:lvlJc w:val="left"/>
      <w:pPr>
        <w:tabs>
          <w:tab w:val="num" w:pos="1872"/>
        </w:tabs>
        <w:ind w:left="1872" w:hanging="432"/>
      </w:pPr>
      <w:rPr>
        <w:rFonts w:ascii="Symbol" w:hAnsi="Symbol" w:hint="default"/>
        <w:color w:val="auto"/>
      </w:rPr>
    </w:lvl>
  </w:abstractNum>
  <w:abstractNum w:abstractNumId="7" w15:restartNumberingAfterBreak="0">
    <w:nsid w:val="24A74AD0"/>
    <w:multiLevelType w:val="hybridMultilevel"/>
    <w:tmpl w:val="A3020036"/>
    <w:lvl w:ilvl="0" w:tplc="EB7EED86">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080"/>
        </w:tabs>
        <w:ind w:left="1080" w:hanging="360"/>
      </w:pPr>
    </w:lvl>
    <w:lvl w:ilvl="2" w:tplc="72628378">
      <w:start w:val="1"/>
      <w:numFmt w:val="lowerLetter"/>
      <w:lvlText w:val="(%3)"/>
      <w:lvlJc w:val="left"/>
      <w:pPr>
        <w:tabs>
          <w:tab w:val="num" w:pos="1980"/>
        </w:tabs>
        <w:ind w:left="1980" w:hanging="360"/>
      </w:pPr>
      <w:rPr>
        <w:rFonts w:hint="default"/>
      </w:rPr>
    </w:lvl>
    <w:lvl w:ilvl="3" w:tplc="0809000F">
      <w:start w:val="1"/>
      <w:numFmt w:val="decimal"/>
      <w:lvlText w:val="%4."/>
      <w:lvlJc w:val="left"/>
      <w:pPr>
        <w:tabs>
          <w:tab w:val="num" w:pos="2520"/>
        </w:tabs>
        <w:ind w:left="2520" w:hanging="360"/>
      </w:pPr>
      <w:rPr>
        <w:rFonts w:hint="default"/>
        <w:b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5B2497D"/>
    <w:multiLevelType w:val="hybridMultilevel"/>
    <w:tmpl w:val="08D653FE"/>
    <w:lvl w:ilvl="0" w:tplc="08090001">
      <w:start w:val="1"/>
      <w:numFmt w:val="bullet"/>
      <w:lvlText w:val=""/>
      <w:lvlJc w:val="left"/>
      <w:pPr>
        <w:tabs>
          <w:tab w:val="num" w:pos="720"/>
        </w:tabs>
        <w:ind w:left="720" w:hanging="360"/>
      </w:pPr>
      <w:rPr>
        <w:rFonts w:ascii="Symbol" w:hAnsi="Symbol" w:hint="default"/>
      </w:rPr>
    </w:lvl>
    <w:lvl w:ilvl="1" w:tplc="2BF2690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0F3488"/>
    <w:multiLevelType w:val="hybridMultilevel"/>
    <w:tmpl w:val="FF9EE748"/>
    <w:lvl w:ilvl="0" w:tplc="DB721D26">
      <w:start w:val="1"/>
      <w:numFmt w:val="lowerLetter"/>
      <w:lvlText w:val="(%1)"/>
      <w:lvlJc w:val="left"/>
      <w:pPr>
        <w:tabs>
          <w:tab w:val="num" w:pos="1287"/>
        </w:tabs>
        <w:ind w:left="1287" w:hanging="567"/>
      </w:pPr>
      <w:rPr>
        <w:rFonts w:ascii="Georgia" w:hAnsi="Georgia"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F25618"/>
    <w:multiLevelType w:val="hybridMultilevel"/>
    <w:tmpl w:val="3070BBC0"/>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1" w15:restartNumberingAfterBreak="0">
    <w:nsid w:val="28E10B86"/>
    <w:multiLevelType w:val="hybridMultilevel"/>
    <w:tmpl w:val="A4DC1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E3450C"/>
    <w:multiLevelType w:val="hybridMultilevel"/>
    <w:tmpl w:val="297E1D8C"/>
    <w:lvl w:ilvl="0" w:tplc="F6024548">
      <w:start w:val="1"/>
      <w:numFmt w:val="decimal"/>
      <w:lvlText w:val="(%1)"/>
      <w:lvlJc w:val="left"/>
      <w:pPr>
        <w:tabs>
          <w:tab w:val="num" w:pos="927"/>
        </w:tabs>
        <w:ind w:left="927" w:hanging="567"/>
      </w:pPr>
      <w:rPr>
        <w:rFonts w:ascii="Georgia" w:hAnsi="Georgia" w:hint="default"/>
        <w:b w:val="0"/>
        <w:i w:val="0"/>
        <w:color w:val="auto"/>
        <w:sz w:val="24"/>
      </w:rPr>
    </w:lvl>
    <w:lvl w:ilvl="1" w:tplc="B02ABD8C">
      <w:start w:val="1"/>
      <w:numFmt w:val="lowerRoman"/>
      <w:lvlText w:val="(%2)"/>
      <w:lvlJc w:val="left"/>
      <w:pPr>
        <w:tabs>
          <w:tab w:val="num" w:pos="1647"/>
        </w:tabs>
        <w:ind w:left="1647" w:hanging="567"/>
      </w:pPr>
      <w:rPr>
        <w:rFonts w:ascii="Georgia" w:hAnsi="Georgia" w:hint="default"/>
        <w:b w:val="0"/>
        <w:i w:val="0"/>
        <w:color w:val="auto"/>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83286A"/>
    <w:multiLevelType w:val="hybridMultilevel"/>
    <w:tmpl w:val="677A4A38"/>
    <w:lvl w:ilvl="0" w:tplc="92D0C164">
      <w:start w:val="1"/>
      <w:numFmt w:val="decimal"/>
      <w:lvlText w:val="%1."/>
      <w:lvlJc w:val="left"/>
      <w:pPr>
        <w:tabs>
          <w:tab w:val="num" w:pos="720"/>
        </w:tabs>
        <w:ind w:left="720" w:hanging="360"/>
      </w:pPr>
      <w:rPr>
        <w:rFonts w:ascii="Georgia" w:eastAsia="Times New Roman" w:hAnsi="Georgia" w:cs="Arial"/>
        <w:sz w:val="24"/>
        <w:szCs w:val="24"/>
      </w:rPr>
    </w:lvl>
    <w:lvl w:ilvl="1" w:tplc="2BF2690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BE00D2"/>
    <w:multiLevelType w:val="hybridMultilevel"/>
    <w:tmpl w:val="34A623A4"/>
    <w:lvl w:ilvl="0" w:tplc="08090001">
      <w:start w:val="1"/>
      <w:numFmt w:val="bullet"/>
      <w:lvlText w:val=""/>
      <w:lvlJc w:val="left"/>
      <w:pPr>
        <w:tabs>
          <w:tab w:val="num" w:pos="720"/>
        </w:tabs>
        <w:ind w:left="720" w:hanging="360"/>
      </w:pPr>
      <w:rPr>
        <w:rFonts w:ascii="Symbol" w:hAnsi="Symbol" w:hint="default"/>
      </w:rPr>
    </w:lvl>
    <w:lvl w:ilvl="1" w:tplc="2BF2690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885C6D"/>
    <w:multiLevelType w:val="hybridMultilevel"/>
    <w:tmpl w:val="732838D4"/>
    <w:lvl w:ilvl="0" w:tplc="E838454A">
      <w:start w:val="1"/>
      <w:numFmt w:val="decimal"/>
      <w:lvlText w:val="%1."/>
      <w:lvlJc w:val="left"/>
      <w:pPr>
        <w:tabs>
          <w:tab w:val="num" w:pos="360"/>
        </w:tabs>
        <w:ind w:left="360" w:hanging="360"/>
      </w:pPr>
      <w:rPr>
        <w:b w:val="0"/>
      </w:rPr>
    </w:lvl>
    <w:lvl w:ilvl="1" w:tplc="08090017">
      <w:start w:val="1"/>
      <w:numFmt w:val="lowerLetter"/>
      <w:lvlText w:val="%2)"/>
      <w:lvlJc w:val="left"/>
      <w:pPr>
        <w:tabs>
          <w:tab w:val="num" w:pos="1080"/>
        </w:tabs>
        <w:ind w:left="1080" w:hanging="360"/>
      </w:pPr>
      <w:rPr>
        <w:b w:val="0"/>
      </w:rPr>
    </w:lvl>
    <w:lvl w:ilvl="2" w:tplc="B912986C">
      <w:start w:val="1"/>
      <w:numFmt w:val="lowerRoman"/>
      <w:lvlText w:val="%3."/>
      <w:lvlJc w:val="right"/>
      <w:pPr>
        <w:tabs>
          <w:tab w:val="num" w:pos="1800"/>
        </w:tabs>
        <w:ind w:left="1800" w:hanging="180"/>
      </w:pPr>
      <w:rPr>
        <w:rFonts w:hint="default"/>
        <w:b w:val="0"/>
      </w:rPr>
    </w:lvl>
    <w:lvl w:ilvl="3" w:tplc="08090009">
      <w:start w:val="1"/>
      <w:numFmt w:val="bullet"/>
      <w:lvlText w:val=""/>
      <w:lvlJc w:val="left"/>
      <w:pPr>
        <w:tabs>
          <w:tab w:val="num" w:pos="2520"/>
        </w:tabs>
        <w:ind w:left="2520" w:hanging="360"/>
      </w:pPr>
      <w:rPr>
        <w:rFonts w:ascii="Wingdings" w:hAnsi="Wingdings" w:hint="default"/>
        <w:b w:val="0"/>
      </w:rPr>
    </w:lvl>
    <w:lvl w:ilvl="4" w:tplc="D1544180">
      <w:start w:val="1"/>
      <w:numFmt w:val="lowerLetter"/>
      <w:lvlText w:val="(%5)"/>
      <w:lvlJc w:val="left"/>
      <w:pPr>
        <w:tabs>
          <w:tab w:val="num" w:pos="3240"/>
        </w:tabs>
        <w:ind w:left="3240" w:hanging="360"/>
      </w:pPr>
      <w:rPr>
        <w:rFonts w:hint="default"/>
        <w:b/>
        <w:i w:val="0"/>
      </w:rPr>
    </w:lvl>
    <w:lvl w:ilvl="5" w:tplc="0809001B">
      <w:start w:val="1"/>
      <w:numFmt w:val="lowerRoman"/>
      <w:lvlText w:val="%6."/>
      <w:lvlJc w:val="right"/>
      <w:pPr>
        <w:tabs>
          <w:tab w:val="num" w:pos="3960"/>
        </w:tabs>
        <w:ind w:left="3960" w:hanging="180"/>
      </w:pPr>
    </w:lvl>
    <w:lvl w:ilvl="6" w:tplc="DE1099A6">
      <w:start w:val="1"/>
      <w:numFmt w:val="lowerLetter"/>
      <w:lvlText w:val="%7."/>
      <w:lvlJc w:val="left"/>
      <w:pPr>
        <w:tabs>
          <w:tab w:val="num" w:pos="4680"/>
        </w:tabs>
        <w:ind w:left="4680" w:hanging="4567"/>
      </w:pPr>
      <w:rPr>
        <w:rFonts w:hint="default"/>
        <w:b w:val="0"/>
      </w:rPr>
    </w:lvl>
    <w:lvl w:ilvl="7" w:tplc="08090019">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128660C"/>
    <w:multiLevelType w:val="hybridMultilevel"/>
    <w:tmpl w:val="2ABA7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6E428A"/>
    <w:multiLevelType w:val="hybridMultilevel"/>
    <w:tmpl w:val="255CC4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4F6191"/>
    <w:multiLevelType w:val="hybridMultilevel"/>
    <w:tmpl w:val="236C6904"/>
    <w:lvl w:ilvl="0" w:tplc="0809000F">
      <w:start w:val="1"/>
      <w:numFmt w:val="decimal"/>
      <w:lvlText w:val="%1."/>
      <w:lvlJc w:val="left"/>
      <w:pPr>
        <w:tabs>
          <w:tab w:val="num" w:pos="720"/>
        </w:tabs>
        <w:ind w:left="720" w:hanging="360"/>
      </w:pPr>
    </w:lvl>
    <w:lvl w:ilvl="1" w:tplc="2BF2690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3E2E4E"/>
    <w:multiLevelType w:val="multilevel"/>
    <w:tmpl w:val="9012773A"/>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179A5"/>
    <w:multiLevelType w:val="hybridMultilevel"/>
    <w:tmpl w:val="3C8C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7426CC"/>
    <w:multiLevelType w:val="hybridMultilevel"/>
    <w:tmpl w:val="53100F38"/>
    <w:lvl w:ilvl="0" w:tplc="D1544180">
      <w:start w:val="1"/>
      <w:numFmt w:val="lowerLetter"/>
      <w:lvlText w:val="(%1)"/>
      <w:lvlJc w:val="left"/>
      <w:pPr>
        <w:tabs>
          <w:tab w:val="num" w:pos="3240"/>
        </w:tabs>
        <w:ind w:left="32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A7870E1"/>
    <w:multiLevelType w:val="hybridMultilevel"/>
    <w:tmpl w:val="4AB20C34"/>
    <w:lvl w:ilvl="0" w:tplc="03786576">
      <w:start w:val="1"/>
      <w:numFmt w:val="lowerLetter"/>
      <w:lvlText w:val="(%1)"/>
      <w:lvlJc w:val="left"/>
      <w:pPr>
        <w:tabs>
          <w:tab w:val="num" w:pos="1514"/>
        </w:tabs>
        <w:ind w:left="1514" w:hanging="794"/>
      </w:pPr>
      <w:rPr>
        <w:rFonts w:ascii="Georgia" w:hAnsi="Georgia" w:hint="default"/>
        <w:b w:val="0"/>
        <w:i w:val="0"/>
        <w:caps w:val="0"/>
        <w:strike w:val="0"/>
        <w:dstrike w:val="0"/>
        <w:vanish w:val="0"/>
        <w:color w:val="000000"/>
        <w:sz w:val="24"/>
        <w:vertAlign w:val="baseline"/>
      </w:rPr>
    </w:lvl>
    <w:lvl w:ilvl="1" w:tplc="08090019">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3" w15:restartNumberingAfterBreak="0">
    <w:nsid w:val="5C3E78E3"/>
    <w:multiLevelType w:val="hybridMultilevel"/>
    <w:tmpl w:val="CA82610C"/>
    <w:lvl w:ilvl="0" w:tplc="B02ABD8C">
      <w:start w:val="1"/>
      <w:numFmt w:val="lowerRoman"/>
      <w:lvlText w:val="(%1)"/>
      <w:lvlJc w:val="left"/>
      <w:pPr>
        <w:tabs>
          <w:tab w:val="num" w:pos="1647"/>
        </w:tabs>
        <w:ind w:left="1647" w:hanging="567"/>
      </w:pPr>
      <w:rPr>
        <w:rFonts w:ascii="Georgia" w:hAnsi="Georgia" w:hint="default"/>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C9C2525"/>
    <w:multiLevelType w:val="hybridMultilevel"/>
    <w:tmpl w:val="7304EF50"/>
    <w:lvl w:ilvl="0" w:tplc="08090001">
      <w:start w:val="1"/>
      <w:numFmt w:val="bullet"/>
      <w:lvlText w:val=""/>
      <w:lvlJc w:val="left"/>
      <w:pPr>
        <w:tabs>
          <w:tab w:val="num" w:pos="720"/>
        </w:tabs>
        <w:ind w:left="720" w:hanging="360"/>
      </w:pPr>
      <w:rPr>
        <w:rFonts w:ascii="Symbol" w:hAnsi="Symbol" w:hint="default"/>
      </w:rPr>
    </w:lvl>
    <w:lvl w:ilvl="1" w:tplc="2BF2690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BB563C"/>
    <w:multiLevelType w:val="hybridMultilevel"/>
    <w:tmpl w:val="767AA404"/>
    <w:lvl w:ilvl="0" w:tplc="E2A20B7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B243A1"/>
    <w:multiLevelType w:val="hybridMultilevel"/>
    <w:tmpl w:val="58AA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266926"/>
    <w:multiLevelType w:val="hybridMultilevel"/>
    <w:tmpl w:val="698C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92DEE"/>
    <w:multiLevelType w:val="hybridMultilevel"/>
    <w:tmpl w:val="82F459B6"/>
    <w:lvl w:ilvl="0" w:tplc="08090001">
      <w:start w:val="1"/>
      <w:numFmt w:val="bullet"/>
      <w:lvlText w:val=""/>
      <w:lvlJc w:val="left"/>
      <w:pPr>
        <w:tabs>
          <w:tab w:val="num" w:pos="720"/>
        </w:tabs>
        <w:ind w:left="720" w:hanging="360"/>
      </w:pPr>
      <w:rPr>
        <w:rFonts w:ascii="Symbol" w:hAnsi="Symbol" w:hint="default"/>
      </w:rPr>
    </w:lvl>
    <w:lvl w:ilvl="1" w:tplc="2BF2690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681BB4"/>
    <w:multiLevelType w:val="hybridMultilevel"/>
    <w:tmpl w:val="8E8CF20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920886"/>
    <w:multiLevelType w:val="hybridMultilevel"/>
    <w:tmpl w:val="5E9876FC"/>
    <w:lvl w:ilvl="0" w:tplc="08090001">
      <w:start w:val="1"/>
      <w:numFmt w:val="bullet"/>
      <w:lvlText w:val=""/>
      <w:lvlJc w:val="left"/>
      <w:pPr>
        <w:tabs>
          <w:tab w:val="num" w:pos="1080"/>
        </w:tabs>
        <w:ind w:left="1080" w:hanging="360"/>
      </w:pPr>
      <w:rPr>
        <w:rFonts w:ascii="Symbol" w:hAnsi="Symbol" w:hint="default"/>
      </w:rPr>
    </w:lvl>
    <w:lvl w:ilvl="1" w:tplc="2BF26906">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9786ACA"/>
    <w:multiLevelType w:val="hybridMultilevel"/>
    <w:tmpl w:val="50BA5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8D5668"/>
    <w:multiLevelType w:val="hybridMultilevel"/>
    <w:tmpl w:val="30DE36D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3" w15:restartNumberingAfterBreak="0">
    <w:nsid w:val="70C57DD6"/>
    <w:multiLevelType w:val="hybridMultilevel"/>
    <w:tmpl w:val="BE508AE4"/>
    <w:lvl w:ilvl="0" w:tplc="03786576">
      <w:start w:val="1"/>
      <w:numFmt w:val="lowerLetter"/>
      <w:lvlText w:val="(%1)"/>
      <w:lvlJc w:val="left"/>
      <w:pPr>
        <w:tabs>
          <w:tab w:val="num" w:pos="1514"/>
        </w:tabs>
        <w:ind w:left="1514" w:hanging="794"/>
      </w:pPr>
      <w:rPr>
        <w:rFonts w:ascii="Georgia" w:hAnsi="Georgia" w:hint="default"/>
        <w:b w:val="0"/>
        <w:i w:val="0"/>
        <w:caps w:val="0"/>
        <w:strike w:val="0"/>
        <w:dstrike w:val="0"/>
        <w:vanish w:val="0"/>
        <w:color w:val="000000"/>
        <w:sz w:val="24"/>
        <w:vertAlign w:val="baseline"/>
      </w:rPr>
    </w:lvl>
    <w:lvl w:ilvl="1" w:tplc="08090019">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34" w15:restartNumberingAfterBreak="0">
    <w:nsid w:val="728A5D1B"/>
    <w:multiLevelType w:val="hybridMultilevel"/>
    <w:tmpl w:val="4EA47E82"/>
    <w:lvl w:ilvl="0" w:tplc="F9F0202E">
      <w:start w:val="1"/>
      <w:numFmt w:val="decimal"/>
      <w:lvlText w:val="(%1)"/>
      <w:lvlJc w:val="left"/>
      <w:pPr>
        <w:tabs>
          <w:tab w:val="num" w:pos="1440"/>
        </w:tabs>
        <w:ind w:left="144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455379A"/>
    <w:multiLevelType w:val="hybridMultilevel"/>
    <w:tmpl w:val="7F58D29E"/>
    <w:lvl w:ilvl="0" w:tplc="DB721D26">
      <w:start w:val="1"/>
      <w:numFmt w:val="lowerLetter"/>
      <w:lvlText w:val="(%1)"/>
      <w:lvlJc w:val="left"/>
      <w:pPr>
        <w:tabs>
          <w:tab w:val="num" w:pos="1647"/>
        </w:tabs>
        <w:ind w:left="1647" w:hanging="567"/>
      </w:pPr>
      <w:rPr>
        <w:rFonts w:ascii="Georgia" w:hAnsi="Georgia" w:hint="default"/>
        <w:b w:val="0"/>
        <w:i w:val="0"/>
        <w:color w:val="auto"/>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6A67DF5"/>
    <w:multiLevelType w:val="hybridMultilevel"/>
    <w:tmpl w:val="F7340D5E"/>
    <w:lvl w:ilvl="0" w:tplc="0809000F">
      <w:start w:val="1"/>
      <w:numFmt w:val="decimal"/>
      <w:lvlText w:val="%1."/>
      <w:lvlJc w:val="left"/>
      <w:pPr>
        <w:tabs>
          <w:tab w:val="num" w:pos="720"/>
        </w:tabs>
        <w:ind w:left="720" w:hanging="360"/>
      </w:pPr>
    </w:lvl>
    <w:lvl w:ilvl="1" w:tplc="9FE6BCD4">
      <w:start w:val="1"/>
      <w:numFmt w:val="lowerLetter"/>
      <w:lvlText w:val="(%2)"/>
      <w:lvlJc w:val="left"/>
      <w:pPr>
        <w:tabs>
          <w:tab w:val="num" w:pos="1800"/>
        </w:tabs>
        <w:ind w:left="1800" w:hanging="360"/>
      </w:pPr>
      <w:rPr>
        <w:rFonts w:hint="default"/>
      </w:rPr>
    </w:lvl>
    <w:lvl w:ilvl="2" w:tplc="03786576">
      <w:start w:val="1"/>
      <w:numFmt w:val="lowerLetter"/>
      <w:lvlText w:val="(%3)"/>
      <w:lvlJc w:val="left"/>
      <w:pPr>
        <w:tabs>
          <w:tab w:val="num" w:pos="2774"/>
        </w:tabs>
        <w:ind w:left="2774" w:hanging="794"/>
      </w:pPr>
      <w:rPr>
        <w:rFonts w:ascii="Georgia" w:hAnsi="Georgia" w:hint="default"/>
        <w:b w:val="0"/>
        <w:i w:val="0"/>
        <w:caps w:val="0"/>
        <w:strike w:val="0"/>
        <w:dstrike w:val="0"/>
        <w:vanish w:val="0"/>
        <w:color w:val="000000"/>
        <w:sz w:val="24"/>
        <w:vertAlign w:val="baselin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FB63B5B"/>
    <w:multiLevelType w:val="hybridMultilevel"/>
    <w:tmpl w:val="91584D78"/>
    <w:lvl w:ilvl="0" w:tplc="08090001">
      <w:start w:val="1"/>
      <w:numFmt w:val="bullet"/>
      <w:lvlText w:val=""/>
      <w:lvlJc w:val="left"/>
      <w:pPr>
        <w:tabs>
          <w:tab w:val="num" w:pos="720"/>
        </w:tabs>
        <w:ind w:left="720" w:hanging="360"/>
      </w:pPr>
      <w:rPr>
        <w:rFonts w:ascii="Symbol" w:hAnsi="Symbol" w:hint="default"/>
      </w:rPr>
    </w:lvl>
    <w:lvl w:ilvl="1" w:tplc="2BF2690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10721307">
    <w:abstractNumId w:val="7"/>
  </w:num>
  <w:num w:numId="2" w16cid:durableId="3287985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979905">
    <w:abstractNumId w:val="22"/>
  </w:num>
  <w:num w:numId="4" w16cid:durableId="1648899083">
    <w:abstractNumId w:val="33"/>
  </w:num>
  <w:num w:numId="5" w16cid:durableId="1094591834">
    <w:abstractNumId w:val="6"/>
  </w:num>
  <w:num w:numId="6" w16cid:durableId="348798396">
    <w:abstractNumId w:val="21"/>
  </w:num>
  <w:num w:numId="7" w16cid:durableId="690450829">
    <w:abstractNumId w:val="12"/>
  </w:num>
  <w:num w:numId="8" w16cid:durableId="1904485298">
    <w:abstractNumId w:val="2"/>
  </w:num>
  <w:num w:numId="9" w16cid:durableId="514996814">
    <w:abstractNumId w:val="23"/>
  </w:num>
  <w:num w:numId="10" w16cid:durableId="109664908">
    <w:abstractNumId w:val="27"/>
  </w:num>
  <w:num w:numId="11" w16cid:durableId="1876038887">
    <w:abstractNumId w:val="9"/>
  </w:num>
  <w:num w:numId="12" w16cid:durableId="125390285">
    <w:abstractNumId w:val="35"/>
  </w:num>
  <w:num w:numId="13" w16cid:durableId="2024358875">
    <w:abstractNumId w:val="29"/>
  </w:num>
  <w:num w:numId="14" w16cid:durableId="1506751299">
    <w:abstractNumId w:val="0"/>
  </w:num>
  <w:num w:numId="15" w16cid:durableId="1061053430">
    <w:abstractNumId w:val="17"/>
  </w:num>
  <w:num w:numId="16" w16cid:durableId="350690689">
    <w:abstractNumId w:val="18"/>
  </w:num>
  <w:num w:numId="17" w16cid:durableId="201598493">
    <w:abstractNumId w:val="28"/>
  </w:num>
  <w:num w:numId="18" w16cid:durableId="1919827399">
    <w:abstractNumId w:val="37"/>
  </w:num>
  <w:num w:numId="19" w16cid:durableId="718170942">
    <w:abstractNumId w:val="8"/>
  </w:num>
  <w:num w:numId="20" w16cid:durableId="109059860">
    <w:abstractNumId w:val="24"/>
  </w:num>
  <w:num w:numId="21" w16cid:durableId="37054247">
    <w:abstractNumId w:val="14"/>
  </w:num>
  <w:num w:numId="22" w16cid:durableId="533810532">
    <w:abstractNumId w:val="30"/>
  </w:num>
  <w:num w:numId="23" w16cid:durableId="1153178980">
    <w:abstractNumId w:val="34"/>
  </w:num>
  <w:num w:numId="24" w16cid:durableId="1229222226">
    <w:abstractNumId w:val="15"/>
  </w:num>
  <w:num w:numId="25" w16cid:durableId="666397133">
    <w:abstractNumId w:val="32"/>
  </w:num>
  <w:num w:numId="26" w16cid:durableId="646206694">
    <w:abstractNumId w:val="13"/>
  </w:num>
  <w:num w:numId="27" w16cid:durableId="1186217228">
    <w:abstractNumId w:val="19"/>
  </w:num>
  <w:num w:numId="28" w16cid:durableId="707022708">
    <w:abstractNumId w:val="4"/>
  </w:num>
  <w:num w:numId="29" w16cid:durableId="1778406000">
    <w:abstractNumId w:val="11"/>
  </w:num>
  <w:num w:numId="30" w16cid:durableId="1784881480">
    <w:abstractNumId w:val="20"/>
  </w:num>
  <w:num w:numId="31" w16cid:durableId="49116181">
    <w:abstractNumId w:val="1"/>
  </w:num>
  <w:num w:numId="32" w16cid:durableId="403528551">
    <w:abstractNumId w:val="25"/>
  </w:num>
  <w:num w:numId="33" w16cid:durableId="936015065">
    <w:abstractNumId w:val="10"/>
  </w:num>
  <w:num w:numId="34" w16cid:durableId="1890992614">
    <w:abstractNumId w:val="3"/>
  </w:num>
  <w:num w:numId="35" w16cid:durableId="1135685308">
    <w:abstractNumId w:val="31"/>
  </w:num>
  <w:num w:numId="36" w16cid:durableId="662202721">
    <w:abstractNumId w:val="5"/>
  </w:num>
  <w:num w:numId="37" w16cid:durableId="1980988929">
    <w:abstractNumId w:val="16"/>
  </w:num>
  <w:num w:numId="38" w16cid:durableId="14703187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C8"/>
    <w:rsid w:val="00001CF9"/>
    <w:rsid w:val="0002665A"/>
    <w:rsid w:val="000C16B8"/>
    <w:rsid w:val="001049F7"/>
    <w:rsid w:val="001933A2"/>
    <w:rsid w:val="001F19A2"/>
    <w:rsid w:val="00203572"/>
    <w:rsid w:val="00232A96"/>
    <w:rsid w:val="00250D6D"/>
    <w:rsid w:val="0027493C"/>
    <w:rsid w:val="004A05C8"/>
    <w:rsid w:val="004C19CC"/>
    <w:rsid w:val="004D7FEF"/>
    <w:rsid w:val="004E27E7"/>
    <w:rsid w:val="006F37E8"/>
    <w:rsid w:val="006F7D71"/>
    <w:rsid w:val="00755431"/>
    <w:rsid w:val="008A62C2"/>
    <w:rsid w:val="008C52E3"/>
    <w:rsid w:val="00962CA7"/>
    <w:rsid w:val="00A83B3B"/>
    <w:rsid w:val="00CC3AB8"/>
    <w:rsid w:val="00D0486F"/>
    <w:rsid w:val="00D916F2"/>
    <w:rsid w:val="00DE6756"/>
    <w:rsid w:val="00E037C5"/>
    <w:rsid w:val="00E25530"/>
    <w:rsid w:val="00E91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8D02"/>
  <w15:chartTrackingRefBased/>
  <w15:docId w15:val="{539C219A-F6AB-5E48-B4B9-34B54C50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C8"/>
    <w:rPr>
      <w:rFonts w:ascii="Times New Roman" w:eastAsia="Times New Roman" w:hAnsi="Times New Roman" w:cs="Times New Roman"/>
      <w:lang w:eastAsia="en-GB"/>
    </w:rPr>
  </w:style>
  <w:style w:type="paragraph" w:styleId="Heading5">
    <w:name w:val="heading 5"/>
    <w:basedOn w:val="Normal"/>
    <w:link w:val="Heading5Char"/>
    <w:uiPriority w:val="9"/>
    <w:qFormat/>
    <w:rsid w:val="004A05C8"/>
    <w:pPr>
      <w:spacing w:before="100" w:beforeAutospacing="1" w:after="100" w:afterAutospacing="1"/>
      <w:outlineLvl w:val="4"/>
    </w:pPr>
    <w:rPr>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05C8"/>
    <w:rPr>
      <w:rFonts w:ascii="Times New Roman" w:eastAsia="Times New Roman" w:hAnsi="Times New Roman" w:cs="Times New Roman"/>
      <w:b/>
      <w:bCs/>
      <w:sz w:val="20"/>
      <w:szCs w:val="20"/>
    </w:rPr>
  </w:style>
  <w:style w:type="table" w:styleId="TableGrid">
    <w:name w:val="Table Grid"/>
    <w:basedOn w:val="TableNormal"/>
    <w:rsid w:val="004A05C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A05C8"/>
    <w:pPr>
      <w:tabs>
        <w:tab w:val="center" w:pos="4153"/>
        <w:tab w:val="right" w:pos="8306"/>
      </w:tabs>
    </w:pPr>
  </w:style>
  <w:style w:type="character" w:customStyle="1" w:styleId="FooterChar">
    <w:name w:val="Footer Char"/>
    <w:basedOn w:val="DefaultParagraphFont"/>
    <w:link w:val="Footer"/>
    <w:rsid w:val="004A05C8"/>
    <w:rPr>
      <w:rFonts w:ascii="Times New Roman" w:eastAsia="Times New Roman" w:hAnsi="Times New Roman" w:cs="Times New Roman"/>
      <w:lang w:eastAsia="en-GB"/>
    </w:rPr>
  </w:style>
  <w:style w:type="character" w:styleId="PageNumber">
    <w:name w:val="page number"/>
    <w:basedOn w:val="DefaultParagraphFont"/>
    <w:rsid w:val="004A05C8"/>
  </w:style>
  <w:style w:type="paragraph" w:styleId="Title">
    <w:name w:val="Title"/>
    <w:basedOn w:val="Normal"/>
    <w:link w:val="TitleChar"/>
    <w:qFormat/>
    <w:rsid w:val="004A05C8"/>
    <w:pPr>
      <w:jc w:val="center"/>
    </w:pPr>
    <w:rPr>
      <w:rFonts w:ascii="Arial" w:hAnsi="Arial"/>
      <w:b/>
      <w:bCs/>
      <w:sz w:val="32"/>
      <w:lang w:eastAsia="en-US"/>
    </w:rPr>
  </w:style>
  <w:style w:type="character" w:customStyle="1" w:styleId="TitleChar">
    <w:name w:val="Title Char"/>
    <w:basedOn w:val="DefaultParagraphFont"/>
    <w:link w:val="Title"/>
    <w:rsid w:val="004A05C8"/>
    <w:rPr>
      <w:rFonts w:ascii="Arial" w:eastAsia="Times New Roman" w:hAnsi="Arial" w:cs="Times New Roman"/>
      <w:b/>
      <w:bCs/>
      <w:sz w:val="32"/>
      <w:lang w:eastAsia="en-US"/>
    </w:rPr>
  </w:style>
  <w:style w:type="character" w:styleId="Strong">
    <w:name w:val="Strong"/>
    <w:qFormat/>
    <w:rsid w:val="004A05C8"/>
    <w:rPr>
      <w:b/>
      <w:bCs/>
    </w:rPr>
  </w:style>
  <w:style w:type="paragraph" w:customStyle="1" w:styleId="Directions">
    <w:name w:val="Directions"/>
    <w:basedOn w:val="Normal"/>
    <w:rsid w:val="004A05C8"/>
    <w:pPr>
      <w:numPr>
        <w:ilvl w:val="1"/>
        <w:numId w:val="5"/>
      </w:numPr>
      <w:spacing w:after="240"/>
      <w:jc w:val="both"/>
    </w:pPr>
    <w:rPr>
      <w:rFonts w:ascii="Arial" w:hAnsi="Arial"/>
    </w:rPr>
  </w:style>
  <w:style w:type="paragraph" w:customStyle="1" w:styleId="DirectionHeading">
    <w:name w:val="Direction Heading"/>
    <w:basedOn w:val="Normal"/>
    <w:next w:val="Directions"/>
    <w:rsid w:val="004A05C8"/>
    <w:pPr>
      <w:keepNext/>
      <w:keepLines/>
      <w:numPr>
        <w:numId w:val="5"/>
      </w:numPr>
      <w:spacing w:after="240"/>
      <w:jc w:val="both"/>
    </w:pPr>
    <w:rPr>
      <w:rFonts w:ascii="Arial" w:hAnsi="Arial"/>
      <w:b/>
      <w:u w:val="single"/>
    </w:rPr>
  </w:style>
  <w:style w:type="paragraph" w:styleId="FootnoteText">
    <w:name w:val="footnote text"/>
    <w:basedOn w:val="Normal"/>
    <w:link w:val="FootnoteTextChar"/>
    <w:semiHidden/>
    <w:rsid w:val="004A05C8"/>
    <w:rPr>
      <w:sz w:val="20"/>
      <w:szCs w:val="20"/>
    </w:rPr>
  </w:style>
  <w:style w:type="character" w:customStyle="1" w:styleId="FootnoteTextChar">
    <w:name w:val="Footnote Text Char"/>
    <w:basedOn w:val="DefaultParagraphFont"/>
    <w:link w:val="FootnoteText"/>
    <w:semiHidden/>
    <w:rsid w:val="004A05C8"/>
    <w:rPr>
      <w:rFonts w:ascii="Times New Roman" w:eastAsia="Times New Roman" w:hAnsi="Times New Roman" w:cs="Times New Roman"/>
      <w:sz w:val="20"/>
      <w:szCs w:val="20"/>
      <w:lang w:eastAsia="en-GB"/>
    </w:rPr>
  </w:style>
  <w:style w:type="character" w:styleId="FootnoteReference">
    <w:name w:val="footnote reference"/>
    <w:semiHidden/>
    <w:rsid w:val="004A05C8"/>
    <w:rPr>
      <w:vertAlign w:val="superscript"/>
    </w:rPr>
  </w:style>
  <w:style w:type="paragraph" w:customStyle="1" w:styleId="Pa2">
    <w:name w:val="Pa2"/>
    <w:basedOn w:val="Normal"/>
    <w:next w:val="Normal"/>
    <w:rsid w:val="004A05C8"/>
    <w:pPr>
      <w:autoSpaceDE w:val="0"/>
      <w:autoSpaceDN w:val="0"/>
      <w:adjustRightInd w:val="0"/>
      <w:spacing w:line="321" w:lineRule="atLeast"/>
    </w:pPr>
    <w:rPr>
      <w:rFonts w:ascii="Bliss 2 Medium" w:hAnsi="Bliss 2 Medium"/>
    </w:rPr>
  </w:style>
  <w:style w:type="paragraph" w:styleId="NormalWeb">
    <w:name w:val="Normal (Web)"/>
    <w:basedOn w:val="Normal"/>
    <w:uiPriority w:val="99"/>
    <w:rsid w:val="004A05C8"/>
    <w:pPr>
      <w:spacing w:before="100" w:beforeAutospacing="1" w:after="100" w:afterAutospacing="1"/>
    </w:pPr>
  </w:style>
  <w:style w:type="paragraph" w:styleId="BalloonText">
    <w:name w:val="Balloon Text"/>
    <w:basedOn w:val="Normal"/>
    <w:link w:val="BalloonTextChar"/>
    <w:rsid w:val="004A05C8"/>
    <w:rPr>
      <w:rFonts w:ascii="Segoe UI" w:hAnsi="Segoe UI" w:cs="Segoe UI"/>
      <w:sz w:val="18"/>
      <w:szCs w:val="18"/>
    </w:rPr>
  </w:style>
  <w:style w:type="character" w:customStyle="1" w:styleId="BalloonTextChar">
    <w:name w:val="Balloon Text Char"/>
    <w:basedOn w:val="DefaultParagraphFont"/>
    <w:link w:val="BalloonText"/>
    <w:rsid w:val="004A05C8"/>
    <w:rPr>
      <w:rFonts w:ascii="Segoe UI" w:eastAsia="Times New Roman" w:hAnsi="Segoe UI" w:cs="Segoe UI"/>
      <w:sz w:val="18"/>
      <w:szCs w:val="18"/>
      <w:lang w:eastAsia="en-GB"/>
    </w:rPr>
  </w:style>
  <w:style w:type="paragraph" w:styleId="ListParagraph">
    <w:name w:val="List Paragraph"/>
    <w:basedOn w:val="Normal"/>
    <w:uiPriority w:val="34"/>
    <w:qFormat/>
    <w:rsid w:val="004A05C8"/>
    <w:pPr>
      <w:ind w:left="720"/>
      <w:contextualSpacing/>
    </w:pPr>
    <w:rPr>
      <w:rFonts w:ascii="Calibri" w:eastAsia="Yu Mincho" w:hAnsi="Calibri" w:cs="Arial"/>
      <w:lang w:val="en-US" w:eastAsia="en-US"/>
    </w:rPr>
  </w:style>
  <w:style w:type="character" w:customStyle="1" w:styleId="normaltextrun">
    <w:name w:val="normaltextrun"/>
    <w:rsid w:val="004A05C8"/>
  </w:style>
  <w:style w:type="character" w:customStyle="1" w:styleId="legds">
    <w:name w:val="legds"/>
    <w:rsid w:val="004A05C8"/>
  </w:style>
  <w:style w:type="paragraph" w:customStyle="1" w:styleId="legclearfix">
    <w:name w:val="legclearfix"/>
    <w:basedOn w:val="Normal"/>
    <w:rsid w:val="004A05C8"/>
    <w:pPr>
      <w:spacing w:before="100" w:beforeAutospacing="1" w:after="100" w:afterAutospacing="1"/>
    </w:pPr>
    <w:rPr>
      <w:lang w:eastAsia="zh-CN"/>
    </w:rPr>
  </w:style>
  <w:style w:type="paragraph" w:customStyle="1" w:styleId="legrhs">
    <w:name w:val="legrhs"/>
    <w:basedOn w:val="Normal"/>
    <w:rsid w:val="004A05C8"/>
    <w:pPr>
      <w:spacing w:before="100" w:beforeAutospacing="1" w:after="100" w:afterAutospacing="1"/>
    </w:pPr>
    <w:rPr>
      <w:lang w:eastAsia="zh-CN"/>
    </w:rPr>
  </w:style>
  <w:style w:type="character" w:customStyle="1" w:styleId="legchangedelimiter">
    <w:name w:val="legchangedelimiter"/>
    <w:rsid w:val="004A05C8"/>
  </w:style>
  <w:style w:type="character" w:styleId="Hyperlink">
    <w:name w:val="Hyperlink"/>
    <w:uiPriority w:val="99"/>
    <w:unhideWhenUsed/>
    <w:rsid w:val="004A05C8"/>
    <w:rPr>
      <w:color w:val="0000FF"/>
      <w:u w:val="single"/>
    </w:rPr>
  </w:style>
  <w:style w:type="character" w:customStyle="1" w:styleId="legsubstitution">
    <w:name w:val="legsubstitution"/>
    <w:rsid w:val="004A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Pittaway</dc:creator>
  <cp:keywords/>
  <dc:description/>
  <cp:lastModifiedBy>Lyster, Matthew</cp:lastModifiedBy>
  <cp:revision>2</cp:revision>
  <dcterms:created xsi:type="dcterms:W3CDTF">2023-12-18T10:48:00Z</dcterms:created>
  <dcterms:modified xsi:type="dcterms:W3CDTF">2023-12-18T10:48:00Z</dcterms:modified>
</cp:coreProperties>
</file>