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7A52" w14:textId="77777777" w:rsidR="00253050" w:rsidRDefault="00253050" w:rsidP="00253050">
      <w:pPr>
        <w:rPr>
          <w:rFonts w:ascii="Arial" w:hAnsi="Arial" w:cs="Arial"/>
          <w:i/>
          <w:iCs/>
          <w:color w:val="FF0000"/>
          <w:sz w:val="20"/>
        </w:rPr>
      </w:pPr>
      <w:bookmarkStart w:id="0" w:name="_Hlk150957576"/>
    </w:p>
    <w:p w14:paraId="00BDF95A" w14:textId="23C4440F" w:rsidR="0095175F" w:rsidRPr="003921E6" w:rsidRDefault="00253050" w:rsidP="003921E6">
      <w:pPr>
        <w:rPr>
          <w:rFonts w:ascii="Arial" w:hAnsi="Arial" w:cs="Arial"/>
          <w:i/>
          <w:iCs/>
          <w:color w:val="FF0000"/>
          <w:sz w:val="20"/>
        </w:rPr>
      </w:pPr>
      <w:r w:rsidRPr="35005ADE">
        <w:rPr>
          <w:rFonts w:ascii="Arial" w:hAnsi="Arial" w:cs="Arial"/>
          <w:i/>
          <w:iCs/>
          <w:color w:val="FF0000"/>
          <w:sz w:val="20"/>
        </w:rPr>
        <w:t>Below are excerpts (</w:t>
      </w:r>
      <w:r w:rsidRPr="35005ADE">
        <w:rPr>
          <w:rFonts w:ascii="Arial" w:hAnsi="Arial" w:cs="Arial"/>
          <w:i/>
          <w:iCs/>
          <w:sz w:val="20"/>
        </w:rPr>
        <w:t>in black</w:t>
      </w:r>
      <w:r w:rsidRPr="35005ADE">
        <w:rPr>
          <w:rFonts w:ascii="Arial" w:hAnsi="Arial" w:cs="Arial"/>
          <w:i/>
          <w:iCs/>
          <w:color w:val="FF0000"/>
          <w:sz w:val="20"/>
        </w:rPr>
        <w:t xml:space="preserve">) from the current CD Codes of Practice </w:t>
      </w:r>
      <w:r>
        <w:rPr>
          <w:rFonts w:ascii="Arial" w:hAnsi="Arial" w:cs="Arial"/>
          <w:i/>
          <w:iCs/>
          <w:color w:val="FF0000"/>
          <w:sz w:val="20"/>
        </w:rPr>
        <w:t xml:space="preserve">which, within the introduction, details the circumstances where it is possible to acquire CD. </w:t>
      </w:r>
      <w:r w:rsidRPr="007A26DD">
        <w:rPr>
          <w:rFonts w:ascii="Arial" w:hAnsi="Arial" w:cs="Arial"/>
          <w:i/>
          <w:iCs/>
          <w:color w:val="FF0000"/>
          <w:sz w:val="20"/>
        </w:rPr>
        <w:t>The proposed changes to text are in red</w:t>
      </w:r>
      <w:r w:rsidRPr="003519E0">
        <w:rPr>
          <w:rFonts w:ascii="Arial" w:hAnsi="Arial" w:cs="Arial"/>
          <w:i/>
          <w:iCs/>
          <w:color w:val="FF0000"/>
          <w:sz w:val="20"/>
        </w:rPr>
        <w:t>.</w:t>
      </w:r>
      <w:r>
        <w:rPr>
          <w:rFonts w:ascii="Arial" w:hAnsi="Arial" w:cs="Arial"/>
          <w:i/>
          <w:iCs/>
          <w:color w:val="FF0000"/>
          <w:sz w:val="20"/>
        </w:rPr>
        <w:t xml:space="preserve"> Reference to paragraph numbers have been removed until the paragraphs are settled.</w:t>
      </w:r>
      <w:bookmarkEnd w:id="0"/>
    </w:p>
    <w:p w14:paraId="580F0095" w14:textId="77777777" w:rsidR="0095175F" w:rsidRDefault="0095175F" w:rsidP="005A2E83">
      <w:pPr>
        <w:jc w:val="both"/>
      </w:pPr>
    </w:p>
    <w:p w14:paraId="2451CF1F" w14:textId="2A31EAF2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Introduction</w:t>
      </w:r>
    </w:p>
    <w:p w14:paraId="4F34AE47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</w:p>
    <w:p w14:paraId="527B36BC" w14:textId="643885D2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This code of practice relates to the exercise of functions conferred by virtue of Parts 3 and 4 of the Investigatory Powers Act 2016 (‘the Act’). Section 2 of this code provides guidance on the procedures to be followed when acquisition of communications data takes place under the provisions in Part 3 of the Act (‘Part 3’). Section 3 of this code provides guidance on the procedures to be followed when communications data is retained under Part 4 of the Act (‘Part 4’).</w:t>
      </w:r>
    </w:p>
    <w:p w14:paraId="600D1756" w14:textId="77777777" w:rsidR="005A2E83" w:rsidRPr="0024213C" w:rsidRDefault="005A2E83" w:rsidP="005A2E83">
      <w:pPr>
        <w:jc w:val="both"/>
        <w:rPr>
          <w:rFonts w:ascii="Arial" w:hAnsi="Arial" w:cs="Arial"/>
          <w:sz w:val="22"/>
          <w:szCs w:val="22"/>
        </w:rPr>
      </w:pPr>
    </w:p>
    <w:p w14:paraId="5BEF997F" w14:textId="683BB965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Sections 1, 2 and 4 of this code are relevant to relevant public authorities within the </w:t>
      </w:r>
    </w:p>
    <w:p w14:paraId="11E076C1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meaning of the Act and to telecommunications operators and postal operators. The</w:t>
      </w:r>
    </w:p>
    <w:p w14:paraId="3BEF4F57" w14:textId="36F9B75B" w:rsidR="00CE1F00" w:rsidRPr="003921E6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relevant public authorities are those public authorities that can acquire</w:t>
      </w:r>
      <w:r w:rsidR="0024213C">
        <w:rPr>
          <w:rFonts w:ascii="Arial" w:hAnsi="Arial" w:cs="Arial"/>
          <w:sz w:val="22"/>
          <w:szCs w:val="22"/>
        </w:rPr>
        <w:t xml:space="preserve"> </w:t>
      </w:r>
      <w:r w:rsidRPr="0024213C">
        <w:rPr>
          <w:rFonts w:ascii="Arial" w:hAnsi="Arial" w:cs="Arial"/>
          <w:sz w:val="22"/>
          <w:szCs w:val="22"/>
        </w:rPr>
        <w:t>communications data. They are set out in Schedule 4 to the Act.</w:t>
      </w:r>
      <w:r w:rsidR="003921E6">
        <w:rPr>
          <w:rFonts w:ascii="Arial" w:hAnsi="Arial" w:cs="Arial"/>
          <w:sz w:val="22"/>
          <w:szCs w:val="22"/>
        </w:rPr>
        <w:t xml:space="preserve"> </w:t>
      </w:r>
      <w:r w:rsidRPr="0024213C">
        <w:rPr>
          <w:rFonts w:ascii="Arial" w:hAnsi="Arial" w:cs="Arial"/>
          <w:sz w:val="22"/>
          <w:szCs w:val="22"/>
        </w:rPr>
        <w:t>Section 12 of the Act (with Schedule 2</w:t>
      </w:r>
      <w:r w:rsidR="008E61B7" w:rsidRPr="0024213C">
        <w:rPr>
          <w:rFonts w:ascii="Arial" w:hAnsi="Arial" w:cs="Arial"/>
          <w:sz w:val="22"/>
          <w:szCs w:val="22"/>
        </w:rPr>
        <w:t>) limits</w:t>
      </w:r>
      <w:r w:rsidR="00F57B43" w:rsidRPr="0024213C">
        <w:rPr>
          <w:rFonts w:ascii="Arial" w:hAnsi="Arial" w:cs="Arial"/>
          <w:sz w:val="22"/>
          <w:szCs w:val="22"/>
        </w:rPr>
        <w:t xml:space="preserve"> the use of </w:t>
      </w:r>
      <w:r w:rsidRPr="0024213C">
        <w:rPr>
          <w:rFonts w:ascii="Arial" w:hAnsi="Arial" w:cs="Arial"/>
          <w:sz w:val="22"/>
          <w:szCs w:val="22"/>
        </w:rPr>
        <w:t xml:space="preserve">other </w:t>
      </w:r>
      <w:r w:rsidR="00796273" w:rsidRPr="0024213C">
        <w:rPr>
          <w:rFonts w:ascii="Arial" w:hAnsi="Arial" w:cs="Arial"/>
          <w:sz w:val="22"/>
          <w:szCs w:val="22"/>
        </w:rPr>
        <w:t xml:space="preserve">information </w:t>
      </w:r>
      <w:r w:rsidRPr="0024213C">
        <w:rPr>
          <w:rFonts w:ascii="Arial" w:hAnsi="Arial" w:cs="Arial"/>
          <w:sz w:val="22"/>
          <w:szCs w:val="22"/>
        </w:rPr>
        <w:t xml:space="preserve">gathering powers in law which provide for access to communications data without </w:t>
      </w:r>
      <w:r w:rsidR="00F57B43" w:rsidRPr="0024213C">
        <w:rPr>
          <w:rFonts w:ascii="Arial" w:hAnsi="Arial" w:cs="Arial"/>
          <w:sz w:val="22"/>
          <w:szCs w:val="22"/>
        </w:rPr>
        <w:t>a</w:t>
      </w:r>
      <w:r w:rsidR="0003607A" w:rsidRPr="0024213C">
        <w:rPr>
          <w:rFonts w:ascii="Arial" w:hAnsi="Arial" w:cs="Arial"/>
          <w:sz w:val="22"/>
          <w:szCs w:val="22"/>
        </w:rPr>
        <w:t xml:space="preserve"> </w:t>
      </w:r>
      <w:r w:rsidR="00F57B43" w:rsidRPr="0024213C">
        <w:rPr>
          <w:rFonts w:ascii="Arial" w:hAnsi="Arial" w:cs="Arial"/>
          <w:sz w:val="22"/>
          <w:szCs w:val="22"/>
        </w:rPr>
        <w:t>Part 3 authorisation</w:t>
      </w:r>
      <w:r w:rsidRPr="0024213C">
        <w:rPr>
          <w:rFonts w:ascii="Arial" w:hAnsi="Arial" w:cs="Arial"/>
          <w:sz w:val="22"/>
          <w:szCs w:val="22"/>
        </w:rPr>
        <w:t xml:space="preserve">. </w:t>
      </w:r>
    </w:p>
    <w:p w14:paraId="79F093C1" w14:textId="77777777" w:rsidR="00CE1F00" w:rsidRPr="0024213C" w:rsidRDefault="00CE1F00" w:rsidP="005A2E8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C700E16" w14:textId="7A43E39B" w:rsidR="001400DE" w:rsidRPr="0024213C" w:rsidRDefault="00F57B43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R</w:t>
      </w:r>
      <w:r w:rsidR="001400DE" w:rsidRPr="0024213C">
        <w:rPr>
          <w:rFonts w:ascii="Arial" w:hAnsi="Arial" w:cs="Arial"/>
          <w:color w:val="FF0000"/>
          <w:sz w:val="22"/>
          <w:szCs w:val="22"/>
        </w:rPr>
        <w:t>elevant public authorities</w:t>
      </w:r>
      <w:r w:rsidRPr="0024213C">
        <w:rPr>
          <w:rFonts w:ascii="Arial" w:hAnsi="Arial" w:cs="Arial"/>
          <w:color w:val="FF0000"/>
          <w:sz w:val="22"/>
          <w:szCs w:val="22"/>
        </w:rPr>
        <w:t>,</w:t>
      </w:r>
      <w:r w:rsidR="001400DE" w:rsidRPr="0024213C">
        <w:rPr>
          <w:rFonts w:ascii="Arial" w:hAnsi="Arial" w:cs="Arial"/>
          <w:color w:val="FF0000"/>
          <w:sz w:val="22"/>
          <w:szCs w:val="22"/>
        </w:rPr>
        <w:t xml:space="preserve"> for the purposes of Part 3</w:t>
      </w:r>
      <w:r w:rsidRPr="0024213C">
        <w:rPr>
          <w:rFonts w:ascii="Arial" w:hAnsi="Arial" w:cs="Arial"/>
          <w:color w:val="FF0000"/>
          <w:sz w:val="22"/>
          <w:szCs w:val="22"/>
        </w:rPr>
        <w:t>,</w:t>
      </w:r>
      <w:r w:rsidR="001400DE" w:rsidRPr="0024213C">
        <w:rPr>
          <w:rFonts w:ascii="Arial" w:hAnsi="Arial" w:cs="Arial"/>
          <w:color w:val="FF0000"/>
          <w:sz w:val="22"/>
          <w:szCs w:val="22"/>
        </w:rPr>
        <w:t xml:space="preserve"> should not use other statutory powers to obtain </w:t>
      </w:r>
      <w:r w:rsidR="009515BD" w:rsidRPr="0024213C">
        <w:rPr>
          <w:rFonts w:ascii="Arial" w:hAnsi="Arial" w:cs="Arial"/>
          <w:color w:val="FF0000"/>
          <w:sz w:val="22"/>
          <w:szCs w:val="22"/>
        </w:rPr>
        <w:t xml:space="preserve">targeted </w:t>
      </w:r>
      <w:r w:rsidR="001400DE" w:rsidRPr="0024213C">
        <w:rPr>
          <w:rFonts w:ascii="Arial" w:hAnsi="Arial" w:cs="Arial"/>
          <w:color w:val="FF0000"/>
          <w:sz w:val="22"/>
          <w:szCs w:val="22"/>
        </w:rPr>
        <w:t>communications data from a postal or telecommunications operator unless</w:t>
      </w:r>
      <w:r w:rsidR="00DC3130">
        <w:rPr>
          <w:rFonts w:ascii="Arial" w:hAnsi="Arial" w:cs="Arial"/>
          <w:color w:val="FF0000"/>
          <w:sz w:val="22"/>
          <w:szCs w:val="22"/>
        </w:rPr>
        <w:t xml:space="preserve"> </w:t>
      </w:r>
      <w:r w:rsidR="00DC3130" w:rsidRPr="0024213C">
        <w:rPr>
          <w:rFonts w:ascii="Arial" w:hAnsi="Arial" w:cs="Arial"/>
          <w:color w:val="FF0000"/>
          <w:sz w:val="22"/>
          <w:szCs w:val="22"/>
        </w:rPr>
        <w:t>that power</w:t>
      </w:r>
      <w:r w:rsidR="001400DE" w:rsidRPr="0024213C">
        <w:rPr>
          <w:rFonts w:ascii="Arial" w:hAnsi="Arial" w:cs="Arial"/>
          <w:color w:val="FF0000"/>
          <w:sz w:val="22"/>
          <w:szCs w:val="22"/>
        </w:rPr>
        <w:t>:</w:t>
      </w:r>
    </w:p>
    <w:p w14:paraId="50DC36FA" w14:textId="77777777" w:rsidR="008C72A0" w:rsidRPr="0024213C" w:rsidRDefault="008C72A0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1D93372" w14:textId="4E393E42" w:rsidR="001400DE" w:rsidRPr="0024213C" w:rsidRDefault="001400DE" w:rsidP="008C72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is authorised by a warrant or order issued by a person holding judicial </w:t>
      </w:r>
      <w:proofErr w:type="gramStart"/>
      <w:r w:rsidRPr="0024213C">
        <w:rPr>
          <w:rFonts w:ascii="Arial" w:hAnsi="Arial" w:cs="Arial"/>
          <w:color w:val="FF0000"/>
          <w:sz w:val="22"/>
          <w:szCs w:val="22"/>
        </w:rPr>
        <w:t>office;</w:t>
      </w:r>
      <w:proofErr w:type="gramEnd"/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EE48FD3" w14:textId="455396A5" w:rsidR="00380F1B" w:rsidRPr="0024213C" w:rsidRDefault="004B2706" w:rsidP="004B27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24213C">
        <w:rPr>
          <w:rFonts w:ascii="Arial" w:hAnsi="Arial" w:cs="Arial"/>
          <w:color w:val="FF0000"/>
          <w:sz w:val="22"/>
          <w:szCs w:val="22"/>
        </w:rPr>
        <w:t>is a general information gathering power</w:t>
      </w:r>
      <w:r w:rsidR="0095175F" w:rsidRPr="0024213C">
        <w:rPr>
          <w:rFonts w:ascii="Arial" w:hAnsi="Arial" w:cs="Arial"/>
          <w:color w:val="FF0000"/>
          <w:sz w:val="22"/>
          <w:szCs w:val="22"/>
        </w:rPr>
        <w:t>,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which is a regulatory or supervisory power, and which</w:t>
      </w:r>
      <w:r w:rsidR="0048676F">
        <w:rPr>
          <w:rFonts w:ascii="Arial" w:hAnsi="Arial" w:cs="Arial"/>
          <w:color w:val="FF0000"/>
          <w:sz w:val="22"/>
          <w:szCs w:val="22"/>
        </w:rPr>
        <w:t xml:space="preserve"> is </w:t>
      </w:r>
      <w:r w:rsidR="00EE6E34">
        <w:rPr>
          <w:rFonts w:ascii="Arial" w:hAnsi="Arial" w:cs="Arial"/>
          <w:color w:val="FF0000"/>
          <w:sz w:val="22"/>
          <w:szCs w:val="22"/>
        </w:rPr>
        <w:t xml:space="preserve">exercised otherwise than in the course </w:t>
      </w:r>
      <w:r w:rsidR="00734506">
        <w:rPr>
          <w:rFonts w:ascii="Arial" w:hAnsi="Arial" w:cs="Arial"/>
          <w:color w:val="FF0000"/>
          <w:sz w:val="22"/>
          <w:szCs w:val="22"/>
        </w:rPr>
        <w:t xml:space="preserve">of a criminal </w:t>
      </w:r>
      <w:proofErr w:type="gramStart"/>
      <w:r w:rsidR="00734506">
        <w:rPr>
          <w:rFonts w:ascii="Arial" w:hAnsi="Arial" w:cs="Arial"/>
          <w:color w:val="FF0000"/>
          <w:sz w:val="22"/>
          <w:szCs w:val="22"/>
        </w:rPr>
        <w:t>investigation</w:t>
      </w:r>
      <w:r w:rsidR="00520DD1">
        <w:rPr>
          <w:rFonts w:ascii="Arial" w:hAnsi="Arial" w:cs="Arial"/>
          <w:color w:val="FF0000"/>
          <w:sz w:val="22"/>
          <w:szCs w:val="22"/>
        </w:rPr>
        <w:t>;</w:t>
      </w:r>
      <w:proofErr w:type="gramEnd"/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0B9FD24" w14:textId="37963CF9" w:rsidR="00AF7639" w:rsidRPr="0024213C" w:rsidRDefault="00AF7639" w:rsidP="00AF7639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19ADF360" w14:textId="41C63FCB" w:rsidR="00AF7639" w:rsidRPr="0024213C" w:rsidRDefault="00AF7639" w:rsidP="00AF77F0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24213C">
        <w:rPr>
          <w:rFonts w:ascii="Arial" w:hAnsi="Arial" w:cs="Arial"/>
          <w:color w:val="FF0000"/>
          <w:sz w:val="22"/>
          <w:szCs w:val="22"/>
          <w:u w:val="single"/>
        </w:rPr>
        <w:t xml:space="preserve">In all other cases a Part 3 authorisation should be sought. </w:t>
      </w:r>
    </w:p>
    <w:p w14:paraId="15815F19" w14:textId="77777777" w:rsidR="004B2706" w:rsidRPr="0024213C" w:rsidRDefault="004B2706" w:rsidP="004B2706">
      <w:pPr>
        <w:pStyle w:val="ListParagraph"/>
        <w:ind w:left="1444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DA9B7D3" w14:textId="4943F9DF" w:rsidR="004B2706" w:rsidRPr="0024213C" w:rsidRDefault="004B270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A ‘criminal investigation’ means an investigation of any alleged or suspected criminal conduct or </w:t>
      </w:r>
      <w:r w:rsidR="003B0B35" w:rsidRPr="0024213C">
        <w:rPr>
          <w:rFonts w:ascii="Arial" w:hAnsi="Arial" w:cs="Arial"/>
          <w:color w:val="FF0000"/>
          <w:sz w:val="22"/>
          <w:szCs w:val="22"/>
        </w:rPr>
        <w:t xml:space="preserve">to establish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whether such conduct has taken place. </w:t>
      </w:r>
    </w:p>
    <w:p w14:paraId="11DECE5D" w14:textId="77777777" w:rsidR="00FC48B3" w:rsidRPr="0024213C" w:rsidRDefault="00FC48B3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76B930A" w14:textId="6D8A2091" w:rsidR="009C1966" w:rsidRPr="0024213C" w:rsidRDefault="004B270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A general information gathering power, which is a regulatory or supervisory power, </w:t>
      </w:r>
      <w:r w:rsidR="009C1966" w:rsidRPr="0024213C">
        <w:rPr>
          <w:rFonts w:ascii="Arial" w:hAnsi="Arial" w:cs="Arial"/>
          <w:color w:val="FF0000"/>
          <w:sz w:val="22"/>
          <w:szCs w:val="22"/>
        </w:rPr>
        <w:t xml:space="preserve">will be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treated as </w:t>
      </w:r>
      <w:r w:rsidR="009C1966" w:rsidRPr="0024213C">
        <w:rPr>
          <w:rFonts w:ascii="Arial" w:hAnsi="Arial" w:cs="Arial"/>
          <w:color w:val="FF0000"/>
          <w:sz w:val="22"/>
          <w:szCs w:val="22"/>
        </w:rPr>
        <w:t xml:space="preserve">not being ‘in the course of a criminal investigation’ if, at the time of the exercise of the power the investigation is not being conducted with a view to seeking a criminal prosecution. </w:t>
      </w:r>
    </w:p>
    <w:p w14:paraId="460B7D2D" w14:textId="77777777" w:rsidR="009C1966" w:rsidRPr="0024213C" w:rsidRDefault="009C196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19A076A" w14:textId="5DA8D764" w:rsidR="009C1966" w:rsidRPr="0024213C" w:rsidRDefault="009C196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A regulatory or supervisory power is a power to obtain information or documents exercised in connection with</w:t>
      </w:r>
      <w:r w:rsidR="00507BB7" w:rsidRPr="0024213C">
        <w:rPr>
          <w:rFonts w:ascii="Arial" w:hAnsi="Arial" w:cs="Arial"/>
          <w:color w:val="FF0000"/>
          <w:sz w:val="22"/>
          <w:szCs w:val="22"/>
        </w:rPr>
        <w:t>: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BC97D29" w14:textId="13F6DDF6" w:rsidR="009C1966" w:rsidRPr="0024213C" w:rsidRDefault="009C196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3FD44AB" w14:textId="56404CC6" w:rsidR="009C1966" w:rsidRPr="0024213C" w:rsidRDefault="009C1966" w:rsidP="00AF77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the regulation of persons or activities,</w:t>
      </w:r>
    </w:p>
    <w:p w14:paraId="4EBACF3C" w14:textId="0E6C837E" w:rsidR="009C1966" w:rsidRPr="0024213C" w:rsidRDefault="009C1966" w:rsidP="00AF77F0">
      <w:pPr>
        <w:pStyle w:val="ListParagraph"/>
        <w:ind w:left="144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FAD1ECA" w14:textId="4247502C" w:rsidR="009C1966" w:rsidRPr="0024213C" w:rsidRDefault="009C1966" w:rsidP="009C1966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(ii) 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ab/>
      </w:r>
      <w:r w:rsidRPr="0024213C">
        <w:rPr>
          <w:rFonts w:ascii="Arial" w:hAnsi="Arial" w:cs="Arial"/>
          <w:color w:val="FF0000"/>
          <w:sz w:val="22"/>
          <w:szCs w:val="22"/>
        </w:rPr>
        <w:t xml:space="preserve">the checking or monitoring of compliance with </w:t>
      </w:r>
    </w:p>
    <w:p w14:paraId="5F831E19" w14:textId="77777777" w:rsidR="009C1966" w:rsidRPr="0024213C" w:rsidRDefault="009C1966" w:rsidP="00AF77F0">
      <w:pPr>
        <w:pStyle w:val="ListParagraph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requirements, prohibitions or standards </w:t>
      </w:r>
      <w:proofErr w:type="gramStart"/>
      <w:r w:rsidRPr="0024213C">
        <w:rPr>
          <w:rFonts w:ascii="Arial" w:hAnsi="Arial" w:cs="Arial"/>
          <w:color w:val="FF0000"/>
          <w:sz w:val="22"/>
          <w:szCs w:val="22"/>
        </w:rPr>
        <w:t>imposed</w:t>
      </w:r>
      <w:proofErr w:type="gramEnd"/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986AAA8" w14:textId="77777777" w:rsidR="009C1966" w:rsidRPr="0024213C" w:rsidRDefault="009C1966" w:rsidP="00AF77F0">
      <w:pPr>
        <w:pStyle w:val="ListParagraph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by or under an enactment, or</w:t>
      </w:r>
    </w:p>
    <w:p w14:paraId="44268285" w14:textId="423DD7A5" w:rsidR="009C1966" w:rsidRPr="0024213C" w:rsidRDefault="009C1966" w:rsidP="009C1966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469EF34" w14:textId="1A7828C1" w:rsidR="009C1966" w:rsidRPr="0024213C" w:rsidRDefault="009C1966" w:rsidP="009C1966">
      <w:pPr>
        <w:pStyle w:val="ListParagraph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(iii) 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ab/>
      </w:r>
      <w:r w:rsidRPr="0024213C">
        <w:rPr>
          <w:rFonts w:ascii="Arial" w:hAnsi="Arial" w:cs="Arial"/>
          <w:color w:val="FF0000"/>
          <w:sz w:val="22"/>
          <w:szCs w:val="22"/>
        </w:rPr>
        <w:t xml:space="preserve">enforcement of any requirement or prohibition </w:t>
      </w:r>
    </w:p>
    <w:p w14:paraId="00ADE7C9" w14:textId="63FCF2A9" w:rsidR="009C1966" w:rsidRPr="0024213C" w:rsidRDefault="009C1966" w:rsidP="00AF77F0">
      <w:pPr>
        <w:pStyle w:val="ListParagraph"/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imposed by or under an enactment</w:t>
      </w:r>
      <w:r w:rsidR="0007116E">
        <w:rPr>
          <w:rFonts w:ascii="Arial" w:hAnsi="Arial" w:cs="Arial"/>
          <w:color w:val="FF0000"/>
          <w:sz w:val="22"/>
          <w:szCs w:val="22"/>
        </w:rPr>
        <w:t>.</w:t>
      </w:r>
    </w:p>
    <w:p w14:paraId="2548ACEC" w14:textId="77777777" w:rsidR="009C1966" w:rsidRPr="0024213C" w:rsidRDefault="009C1966" w:rsidP="004B2706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086E956" w14:textId="2E6CF6E6" w:rsidR="004B2706" w:rsidRPr="0024213C" w:rsidRDefault="009C1966" w:rsidP="00AF77F0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  <w:r w:rsidR="004B2706" w:rsidRPr="0024213C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97ADF13" w14:textId="0FBF068B" w:rsidR="00297A82" w:rsidRPr="0024213C" w:rsidRDefault="00C35791" w:rsidP="00297A82">
      <w:pPr>
        <w:jc w:val="both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This definition of a regulatory or supervisory power is </w:t>
      </w:r>
      <w:r w:rsidR="008C0862" w:rsidRPr="0024213C">
        <w:rPr>
          <w:rFonts w:ascii="Arial" w:hAnsi="Arial" w:cs="Arial"/>
          <w:color w:val="FF0000"/>
          <w:sz w:val="22"/>
          <w:szCs w:val="22"/>
        </w:rPr>
        <w:t xml:space="preserve">to permit </w:t>
      </w:r>
      <w:r w:rsidRPr="0024213C">
        <w:rPr>
          <w:rFonts w:ascii="Arial" w:hAnsi="Arial" w:cs="Arial"/>
          <w:color w:val="FF0000"/>
          <w:sz w:val="22"/>
          <w:szCs w:val="22"/>
        </w:rPr>
        <w:t>organisations such as the Financial Conduct A</w:t>
      </w:r>
      <w:r w:rsidR="007008F3" w:rsidRPr="0024213C">
        <w:rPr>
          <w:rFonts w:ascii="Arial" w:hAnsi="Arial" w:cs="Arial"/>
          <w:color w:val="FF0000"/>
          <w:sz w:val="22"/>
          <w:szCs w:val="22"/>
        </w:rPr>
        <w:t>uthority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and His Majesty’s Revenue and Customs with the regulation of the Financial Sector and/or Money Laundering Regulations</w:t>
      </w:r>
      <w:r w:rsidR="00A74ED3" w:rsidRPr="0024213C">
        <w:rPr>
          <w:rFonts w:ascii="Arial" w:hAnsi="Arial" w:cs="Arial"/>
          <w:color w:val="FF0000"/>
          <w:sz w:val="22"/>
          <w:szCs w:val="22"/>
        </w:rPr>
        <w:t xml:space="preserve"> to acquire </w:t>
      </w:r>
      <w:r w:rsidR="00A74ED3" w:rsidRPr="0024213C">
        <w:rPr>
          <w:rFonts w:ascii="Arial" w:hAnsi="Arial" w:cs="Arial"/>
          <w:color w:val="FF0000"/>
          <w:sz w:val="22"/>
          <w:szCs w:val="22"/>
        </w:rPr>
        <w:lastRenderedPageBreak/>
        <w:t>communications data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. It is also designed to </w:t>
      </w:r>
      <w:r w:rsidR="008C0862" w:rsidRPr="0024213C">
        <w:rPr>
          <w:rFonts w:ascii="Arial" w:hAnsi="Arial" w:cs="Arial"/>
          <w:color w:val="FF0000"/>
          <w:sz w:val="22"/>
          <w:szCs w:val="22"/>
        </w:rPr>
        <w:t>permit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Border Force </w:t>
      </w:r>
      <w:r w:rsidR="00A74ED3" w:rsidRPr="0024213C">
        <w:rPr>
          <w:rFonts w:ascii="Arial" w:hAnsi="Arial" w:cs="Arial"/>
          <w:color w:val="FF0000"/>
          <w:sz w:val="22"/>
          <w:szCs w:val="22"/>
        </w:rPr>
        <w:t>communications data acquisition powers in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the management of </w:t>
      </w:r>
      <w:r w:rsidR="008C0862" w:rsidRPr="0024213C">
        <w:rPr>
          <w:rFonts w:ascii="Arial" w:hAnsi="Arial" w:cs="Arial"/>
          <w:color w:val="FF0000"/>
          <w:sz w:val="22"/>
          <w:szCs w:val="22"/>
        </w:rPr>
        <w:t>activities to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ensure illegal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substances are not being </w:t>
      </w:r>
      <w:r w:rsidR="008C0862" w:rsidRPr="0024213C">
        <w:rPr>
          <w:rFonts w:ascii="Arial" w:hAnsi="Arial" w:cs="Arial"/>
          <w:color w:val="FF0000"/>
          <w:sz w:val="22"/>
          <w:szCs w:val="22"/>
        </w:rPr>
        <w:t>transported across borders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, and in the management of </w:t>
      </w:r>
      <w:r w:rsidR="00716B6E" w:rsidRPr="0024213C">
        <w:rPr>
          <w:rStyle w:val="normaltextrun"/>
          <w:rFonts w:ascii="Arial" w:hAnsi="Arial" w:cs="Arial"/>
          <w:color w:val="FF0000"/>
          <w:sz w:val="22"/>
          <w:szCs w:val="22"/>
        </w:rPr>
        <w:t>persons subject to immigration restrictions.</w:t>
      </w:r>
    </w:p>
    <w:p w14:paraId="5F45DC87" w14:textId="77777777" w:rsidR="00C35791" w:rsidRPr="0024213C" w:rsidRDefault="00C35791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32B504A" w14:textId="20132F44" w:rsidR="00297A82" w:rsidRPr="0024213C" w:rsidRDefault="00297A82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CD acquired using 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a general information gathering power, which is a regulatory or supervisory power, </w:t>
      </w:r>
      <w:r w:rsidR="0001301B" w:rsidRPr="0024213C">
        <w:rPr>
          <w:rFonts w:ascii="Arial" w:hAnsi="Arial" w:cs="Arial"/>
          <w:color w:val="FF0000"/>
          <w:sz w:val="22"/>
          <w:szCs w:val="22"/>
        </w:rPr>
        <w:t xml:space="preserve">and 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 xml:space="preserve">which 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at the time 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 xml:space="preserve">was exercised 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otherwise than </w:t>
      </w:r>
      <w:proofErr w:type="gramStart"/>
      <w:r w:rsidR="006159C6" w:rsidRPr="0024213C">
        <w:rPr>
          <w:rFonts w:ascii="Arial" w:hAnsi="Arial" w:cs="Arial"/>
          <w:color w:val="FF0000"/>
          <w:sz w:val="22"/>
          <w:szCs w:val="22"/>
        </w:rPr>
        <w:t>in the course of</w:t>
      </w:r>
      <w:proofErr w:type="gramEnd"/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 a </w:t>
      </w:r>
      <w:r w:rsidR="0007116E">
        <w:rPr>
          <w:rFonts w:ascii="Arial" w:hAnsi="Arial" w:cs="Arial"/>
          <w:color w:val="FF0000"/>
          <w:sz w:val="22"/>
          <w:szCs w:val="22"/>
        </w:rPr>
        <w:t>criminal investigation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 can only later be used in support of a criminal prosecution where the public authority can show a clear, auditable and tangible escalation of the circumstances leading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to a decision that criminal prosecution </w:t>
      </w:r>
      <w:r w:rsidR="0001301B" w:rsidRPr="0024213C">
        <w:rPr>
          <w:rFonts w:ascii="Arial" w:hAnsi="Arial" w:cs="Arial"/>
          <w:color w:val="FF0000"/>
          <w:sz w:val="22"/>
          <w:szCs w:val="22"/>
        </w:rPr>
        <w:t>was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more appropriate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51CE27D7" w14:textId="24C8F074" w:rsidR="006159C6" w:rsidRPr="0024213C" w:rsidRDefault="006159C6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F11A9EA" w14:textId="08F8FF9F" w:rsidR="0001301B" w:rsidRPr="0024213C" w:rsidRDefault="00716B6E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P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>ublic authorities who straddle both civil and criminal investigations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 xml:space="preserve"> and who need to move from 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 xml:space="preserve">a 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>civil to criminal resolution, should have in place clear policy and operating procedure</w:t>
      </w:r>
      <w:r w:rsidR="0001301B" w:rsidRPr="0024213C">
        <w:rPr>
          <w:rFonts w:ascii="Arial" w:hAnsi="Arial" w:cs="Arial"/>
          <w:color w:val="FF0000"/>
          <w:sz w:val="22"/>
          <w:szCs w:val="22"/>
        </w:rPr>
        <w:t>s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 xml:space="preserve"> for managing such circumstances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 xml:space="preserve"> to give practical effect to the above paragraph</w:t>
      </w:r>
      <w:r w:rsidR="002C3AFF" w:rsidRPr="0024213C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F68CD55" w14:textId="77777777" w:rsidR="0003607A" w:rsidRPr="0024213C" w:rsidRDefault="0003607A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8021154" w14:textId="66AD7879" w:rsidR="0003607A" w:rsidRPr="0024213C" w:rsidRDefault="0003607A" w:rsidP="0003607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 xml:space="preserve">It is recognised that the point at which a decision is made to move from civil to criminal process may come </w:t>
      </w:r>
      <w:r w:rsidR="0007116E">
        <w:rPr>
          <w:rFonts w:ascii="Arial" w:hAnsi="Arial" w:cs="Arial"/>
          <w:color w:val="FF0000"/>
          <w:sz w:val="22"/>
          <w:szCs w:val="22"/>
        </w:rPr>
        <w:t xml:space="preserve">after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the original CD has been deleted by the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TO.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  <w:r w:rsidR="00716B6E" w:rsidRPr="0024213C">
        <w:rPr>
          <w:rFonts w:ascii="Arial" w:hAnsi="Arial" w:cs="Arial"/>
          <w:color w:val="FF0000"/>
          <w:sz w:val="22"/>
          <w:szCs w:val="22"/>
        </w:rPr>
        <w:t xml:space="preserve">The only relevant CD still available to investigators may be that obtained using regulatory or supervisory information gathering powers.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It is therefore not intended to prevent the use of CD, acquired using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such general</w:t>
      </w:r>
      <w:r w:rsidR="00AE295A" w:rsidRPr="0024213C">
        <w:rPr>
          <w:rFonts w:ascii="Arial" w:hAnsi="Arial" w:cs="Arial"/>
          <w:color w:val="FF0000"/>
          <w:sz w:val="22"/>
          <w:szCs w:val="22"/>
        </w:rPr>
        <w:t xml:space="preserve"> information gathering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powers, from being later used in support of a criminal prosecution. </w:t>
      </w:r>
    </w:p>
    <w:p w14:paraId="62C716E0" w14:textId="77777777" w:rsidR="0001301B" w:rsidRPr="0024213C" w:rsidRDefault="0001301B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BBD53C7" w14:textId="6F10B6D0" w:rsidR="006159C6" w:rsidRPr="0024213C" w:rsidRDefault="002C3AFF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That policy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>,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 xml:space="preserve">those </w:t>
      </w:r>
      <w:r w:rsidRPr="0024213C">
        <w:rPr>
          <w:rFonts w:ascii="Arial" w:hAnsi="Arial" w:cs="Arial"/>
          <w:color w:val="FF0000"/>
          <w:sz w:val="22"/>
          <w:szCs w:val="22"/>
        </w:rPr>
        <w:t>procedure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>s,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however,</w:t>
      </w:r>
      <w:r w:rsidR="00716B6E" w:rsidRPr="0024213C">
        <w:rPr>
          <w:rFonts w:ascii="Arial" w:hAnsi="Arial" w:cs="Arial"/>
          <w:color w:val="FF0000"/>
          <w:sz w:val="22"/>
          <w:szCs w:val="22"/>
        </w:rPr>
        <w:t xml:space="preserve"> must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ensure sufficient record keeping </w:t>
      </w:r>
      <w:r w:rsidR="0003607A" w:rsidRPr="0024213C">
        <w:rPr>
          <w:rFonts w:ascii="Arial" w:hAnsi="Arial" w:cs="Arial"/>
          <w:color w:val="FF0000"/>
          <w:sz w:val="22"/>
          <w:szCs w:val="22"/>
        </w:rPr>
        <w:t>enabling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an independent reviewer, with no prior knowledge of the case, to follow the developing circumstances and reach </w:t>
      </w:r>
      <w:r w:rsidR="00B64D03" w:rsidRPr="0024213C">
        <w:rPr>
          <w:rFonts w:ascii="Arial" w:hAnsi="Arial" w:cs="Arial"/>
          <w:color w:val="FF0000"/>
          <w:sz w:val="22"/>
          <w:szCs w:val="22"/>
        </w:rPr>
        <w:t xml:space="preserve">a similar </w:t>
      </w:r>
      <w:r w:rsidRPr="0024213C">
        <w:rPr>
          <w:rFonts w:ascii="Arial" w:hAnsi="Arial" w:cs="Arial"/>
          <w:color w:val="FF0000"/>
          <w:sz w:val="22"/>
          <w:szCs w:val="22"/>
        </w:rPr>
        <w:t>conclusion at</w:t>
      </w:r>
      <w:r w:rsidR="009C1510" w:rsidRPr="0024213C">
        <w:rPr>
          <w:rFonts w:ascii="Arial" w:hAnsi="Arial" w:cs="Arial"/>
          <w:color w:val="FF0000"/>
          <w:sz w:val="22"/>
          <w:szCs w:val="22"/>
        </w:rPr>
        <w:t xml:space="preserve"> broadly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the same </w:t>
      </w:r>
      <w:r w:rsidR="009C1510" w:rsidRPr="0024213C">
        <w:rPr>
          <w:rFonts w:ascii="Arial" w:hAnsi="Arial" w:cs="Arial"/>
          <w:color w:val="FF0000"/>
          <w:sz w:val="22"/>
          <w:szCs w:val="22"/>
        </w:rPr>
        <w:t xml:space="preserve">point in the </w:t>
      </w:r>
      <w:r w:rsidR="0003607A" w:rsidRPr="0024213C">
        <w:rPr>
          <w:rFonts w:ascii="Arial" w:hAnsi="Arial" w:cs="Arial"/>
          <w:color w:val="FF0000"/>
          <w:sz w:val="22"/>
          <w:szCs w:val="22"/>
        </w:rPr>
        <w:t>enquiry</w:t>
      </w:r>
      <w:r w:rsidR="009C1510" w:rsidRPr="0024213C">
        <w:rPr>
          <w:rFonts w:ascii="Arial" w:hAnsi="Arial" w:cs="Arial"/>
          <w:color w:val="FF0000"/>
          <w:sz w:val="22"/>
          <w:szCs w:val="22"/>
        </w:rPr>
        <w:t>.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46003B9" w14:textId="7D3687A6" w:rsidR="009C1510" w:rsidRPr="0024213C" w:rsidRDefault="009C1510" w:rsidP="00297A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7F6917" w14:textId="4BD87C19" w:rsidR="00B64D03" w:rsidRPr="0024213C" w:rsidRDefault="00297A8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Matters moving from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 an initial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civil remedy to 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 xml:space="preserve">a </w:t>
      </w:r>
      <w:r w:rsidRPr="0024213C">
        <w:rPr>
          <w:rFonts w:ascii="Arial" w:hAnsi="Arial" w:cs="Arial"/>
          <w:color w:val="FF0000"/>
          <w:sz w:val="22"/>
          <w:szCs w:val="22"/>
        </w:rPr>
        <w:t>criminal prosecution will be of particular interest to the Investigatory Powers Commissioners Office</w:t>
      </w:r>
      <w:r w:rsidR="006159C6" w:rsidRPr="0024213C">
        <w:rPr>
          <w:rFonts w:ascii="Arial" w:hAnsi="Arial" w:cs="Arial"/>
          <w:color w:val="FF0000"/>
          <w:sz w:val="22"/>
          <w:szCs w:val="22"/>
        </w:rPr>
        <w:t>,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during inspection of organisations which straddle both civil and criminal outcomes. This will provide 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 xml:space="preserve">the necessary independent 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oversight 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 xml:space="preserve">to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ensure the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use of regulatory or supervisory related information gathering powers are both lawful and 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>proportionate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in all circumstances. </w:t>
      </w:r>
    </w:p>
    <w:p w14:paraId="1B10D511" w14:textId="77777777" w:rsidR="00B64D03" w:rsidRPr="0024213C" w:rsidRDefault="00B64D0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593A36" w14:textId="4EB8A105" w:rsidR="00297A82" w:rsidRPr="0024213C" w:rsidRDefault="00B64D03" w:rsidP="0071717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color w:val="FF0000"/>
          <w:sz w:val="22"/>
          <w:szCs w:val="22"/>
        </w:rPr>
        <w:t>Where a criminal prosecution is sought from the outset such regulatory or supervisory bodies</w:t>
      </w:r>
      <w:r w:rsidR="0003607A" w:rsidRPr="0024213C">
        <w:rPr>
          <w:rFonts w:ascii="Arial" w:hAnsi="Arial" w:cs="Arial"/>
          <w:color w:val="FF0000"/>
          <w:sz w:val="22"/>
          <w:szCs w:val="22"/>
        </w:rPr>
        <w:t>, granted IP Act powers by virtue of Sch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>edule</w:t>
      </w:r>
      <w:r w:rsidR="0003607A" w:rsidRPr="0024213C">
        <w:rPr>
          <w:rFonts w:ascii="Arial" w:hAnsi="Arial" w:cs="Arial"/>
          <w:color w:val="FF0000"/>
          <w:sz w:val="22"/>
          <w:szCs w:val="22"/>
        </w:rPr>
        <w:t xml:space="preserve"> 4, </w:t>
      </w:r>
      <w:r w:rsidRPr="0024213C">
        <w:rPr>
          <w:rFonts w:ascii="Arial" w:hAnsi="Arial" w:cs="Arial"/>
          <w:color w:val="FF0000"/>
          <w:sz w:val="22"/>
          <w:szCs w:val="22"/>
        </w:rPr>
        <w:t>m</w:t>
      </w:r>
      <w:r w:rsidR="0003607A" w:rsidRPr="0024213C">
        <w:rPr>
          <w:rFonts w:ascii="Arial" w:hAnsi="Arial" w:cs="Arial"/>
          <w:color w:val="FF0000"/>
          <w:sz w:val="22"/>
          <w:szCs w:val="22"/>
        </w:rPr>
        <w:t>u</w:t>
      </w:r>
      <w:r w:rsidRPr="0024213C">
        <w:rPr>
          <w:rFonts w:ascii="Arial" w:hAnsi="Arial" w:cs="Arial"/>
          <w:color w:val="FF0000"/>
          <w:sz w:val="22"/>
          <w:szCs w:val="22"/>
        </w:rPr>
        <w:t>st continue to use a Part 3</w:t>
      </w:r>
      <w:r w:rsidR="00E546A7" w:rsidRPr="0024213C">
        <w:rPr>
          <w:rFonts w:ascii="Arial" w:hAnsi="Arial" w:cs="Arial"/>
          <w:color w:val="FF0000"/>
          <w:sz w:val="22"/>
          <w:szCs w:val="22"/>
        </w:rPr>
        <w:t xml:space="preserve"> IP 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Act authority</w:t>
      </w:r>
      <w:r w:rsidRPr="0024213C">
        <w:rPr>
          <w:rFonts w:ascii="Arial" w:hAnsi="Arial" w:cs="Arial"/>
          <w:color w:val="FF0000"/>
          <w:sz w:val="22"/>
          <w:szCs w:val="22"/>
        </w:rPr>
        <w:t xml:space="preserve"> to gather CD in that case. </w:t>
      </w:r>
      <w:r w:rsidR="00297A82" w:rsidRPr="0024213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88E5B3C" w14:textId="77777777" w:rsidR="005A2E83" w:rsidRPr="0024213C" w:rsidRDefault="005A2E83" w:rsidP="005A2E83">
      <w:pPr>
        <w:jc w:val="both"/>
        <w:rPr>
          <w:rFonts w:ascii="Arial" w:hAnsi="Arial" w:cs="Arial"/>
          <w:sz w:val="22"/>
          <w:szCs w:val="22"/>
        </w:rPr>
      </w:pPr>
    </w:p>
    <w:p w14:paraId="2421AEDE" w14:textId="77777777" w:rsidR="005A2E83" w:rsidRPr="0024213C" w:rsidRDefault="005A2E83" w:rsidP="005A2E83">
      <w:pPr>
        <w:jc w:val="both"/>
        <w:rPr>
          <w:rFonts w:ascii="Arial" w:hAnsi="Arial" w:cs="Arial"/>
          <w:sz w:val="22"/>
          <w:szCs w:val="22"/>
        </w:rPr>
      </w:pPr>
    </w:p>
    <w:p w14:paraId="18381771" w14:textId="6F70BA99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Relevant public authorities should not require, or invite, any postal or telecommunications operator to disclose communications data by relying on any</w:t>
      </w:r>
      <w:r w:rsidR="003921E6">
        <w:rPr>
          <w:rFonts w:ascii="Arial" w:hAnsi="Arial" w:cs="Arial"/>
          <w:sz w:val="22"/>
          <w:szCs w:val="22"/>
        </w:rPr>
        <w:t xml:space="preserve"> </w:t>
      </w:r>
      <w:r w:rsidRPr="0024213C">
        <w:rPr>
          <w:rFonts w:ascii="Arial" w:hAnsi="Arial" w:cs="Arial"/>
          <w:sz w:val="22"/>
          <w:szCs w:val="22"/>
        </w:rPr>
        <w:t xml:space="preserve">exemption to restrictions on disclosing personal data under relevant data </w:t>
      </w:r>
      <w:proofErr w:type="gramStart"/>
      <w:r w:rsidRPr="0024213C">
        <w:rPr>
          <w:rFonts w:ascii="Arial" w:hAnsi="Arial" w:cs="Arial"/>
          <w:sz w:val="22"/>
          <w:szCs w:val="22"/>
        </w:rPr>
        <w:t>protection</w:t>
      </w:r>
      <w:proofErr w:type="gramEnd"/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5FCF0181" w14:textId="3D375D76" w:rsidR="005A2E83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legislation.</w:t>
      </w:r>
    </w:p>
    <w:p w14:paraId="3AE80CAA" w14:textId="3B3E4AF9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733A9B97" w14:textId="7AA257F3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Sections 1, 3 and 4 of this code are relevant to telecommunications operators and </w:t>
      </w:r>
    </w:p>
    <w:p w14:paraId="2A6FD4C9" w14:textId="2379A3E8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postal operators who have been given a data retention notice under Part 4.</w:t>
      </w:r>
    </w:p>
    <w:p w14:paraId="0C91C04B" w14:textId="77777777" w:rsidR="005A2E83" w:rsidRPr="0024213C" w:rsidRDefault="005A2E83" w:rsidP="005A2E83">
      <w:pPr>
        <w:jc w:val="both"/>
        <w:rPr>
          <w:rFonts w:ascii="Arial" w:hAnsi="Arial" w:cs="Arial"/>
          <w:sz w:val="22"/>
          <w:szCs w:val="22"/>
        </w:rPr>
      </w:pPr>
    </w:p>
    <w:p w14:paraId="66086B52" w14:textId="52B36F60" w:rsidR="001400DE" w:rsidRPr="0024213C" w:rsidRDefault="001400DE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This code should be readily available to members of a relevant public authority involved in the acquisition of communications data under the Act, and to </w:t>
      </w:r>
      <w:r w:rsidR="00FC48B3" w:rsidRPr="0024213C">
        <w:rPr>
          <w:rFonts w:ascii="Arial" w:hAnsi="Arial" w:cs="Arial"/>
          <w:sz w:val="22"/>
          <w:szCs w:val="22"/>
        </w:rPr>
        <w:t>telecommunications operators and postal operators involved in the retention of communications data and/or its disclosure to public authorities under the Act</w:t>
      </w:r>
      <w:r w:rsidR="0048676F">
        <w:rPr>
          <w:rFonts w:ascii="Arial" w:hAnsi="Arial" w:cs="Arial"/>
          <w:sz w:val="22"/>
          <w:szCs w:val="22"/>
        </w:rPr>
        <w:t>.</w:t>
      </w:r>
    </w:p>
    <w:p w14:paraId="3DC83862" w14:textId="353CB579" w:rsidR="00FC48B3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22977850" w14:textId="4B785A61" w:rsidR="00FC48B3" w:rsidRPr="0024213C" w:rsidRDefault="00FC48B3" w:rsidP="00A20C0E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The Act provides that persons exercising any functions to which this code relates must have regard to the </w:t>
      </w:r>
      <w:r w:rsidR="00A20C0E" w:rsidRPr="0024213C">
        <w:rPr>
          <w:rFonts w:ascii="Arial" w:hAnsi="Arial" w:cs="Arial"/>
          <w:sz w:val="22"/>
          <w:szCs w:val="22"/>
        </w:rPr>
        <w:t xml:space="preserve">contents of the </w:t>
      </w:r>
      <w:r w:rsidRPr="0024213C">
        <w:rPr>
          <w:rFonts w:ascii="Arial" w:hAnsi="Arial" w:cs="Arial"/>
          <w:sz w:val="22"/>
          <w:szCs w:val="22"/>
        </w:rPr>
        <w:t>code</w:t>
      </w:r>
      <w:r w:rsidR="000716A6" w:rsidRPr="0024213C">
        <w:rPr>
          <w:rFonts w:ascii="Arial" w:hAnsi="Arial" w:cs="Arial"/>
          <w:sz w:val="22"/>
          <w:szCs w:val="22"/>
        </w:rPr>
        <w:t xml:space="preserve"> in the exercise of those functions</w:t>
      </w:r>
      <w:r w:rsidRPr="0024213C">
        <w:rPr>
          <w:rFonts w:ascii="Arial" w:hAnsi="Arial" w:cs="Arial"/>
          <w:sz w:val="22"/>
          <w:szCs w:val="22"/>
        </w:rPr>
        <w:t>.</w:t>
      </w:r>
    </w:p>
    <w:p w14:paraId="27EF695C" w14:textId="77777777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</w:p>
    <w:p w14:paraId="24017CFF" w14:textId="131D6B8C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The Act provides that the code is admissible in evidence in criminal and civil proceedings. If any provision of the code appears relevant to a question before any </w:t>
      </w:r>
    </w:p>
    <w:p w14:paraId="68251774" w14:textId="77777777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court or tribunal hearing any such proceedings, or to the Investigatory Powers </w:t>
      </w:r>
    </w:p>
    <w:p w14:paraId="7201AEA7" w14:textId="77777777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lastRenderedPageBreak/>
        <w:t xml:space="preserve">Tribunal (‘IPT’) or to the Investigatory Powers Commissioner (‘IPC’) or the </w:t>
      </w:r>
    </w:p>
    <w:p w14:paraId="459643FD" w14:textId="77777777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Information Commissioner when overseeing the powers conferred by the Act, it </w:t>
      </w:r>
      <w:proofErr w:type="gramStart"/>
      <w:r w:rsidRPr="0024213C">
        <w:rPr>
          <w:rFonts w:ascii="Arial" w:hAnsi="Arial" w:cs="Arial"/>
          <w:sz w:val="22"/>
          <w:szCs w:val="22"/>
        </w:rPr>
        <w:t>may</w:t>
      </w:r>
      <w:proofErr w:type="gramEnd"/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30BB1C8C" w14:textId="77777777" w:rsidR="00FC48B3" w:rsidRPr="0024213C" w:rsidRDefault="00FC48B3" w:rsidP="00FC48B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be </w:t>
      </w:r>
      <w:proofErr w:type="gramStart"/>
      <w:r w:rsidRPr="0024213C">
        <w:rPr>
          <w:rFonts w:ascii="Arial" w:hAnsi="Arial" w:cs="Arial"/>
          <w:sz w:val="22"/>
          <w:szCs w:val="22"/>
        </w:rPr>
        <w:t>taken into account</w:t>
      </w:r>
      <w:proofErr w:type="gramEnd"/>
      <w:r w:rsidRPr="0024213C">
        <w:rPr>
          <w:rFonts w:ascii="Arial" w:hAnsi="Arial" w:cs="Arial"/>
          <w:sz w:val="22"/>
          <w:szCs w:val="22"/>
        </w:rPr>
        <w:t>.</w:t>
      </w:r>
    </w:p>
    <w:p w14:paraId="5BC29AC4" w14:textId="497C5D09" w:rsidR="00FC48B3" w:rsidRPr="0024213C" w:rsidRDefault="00FC48B3" w:rsidP="005A2E83">
      <w:pPr>
        <w:jc w:val="both"/>
        <w:rPr>
          <w:rFonts w:ascii="Arial" w:hAnsi="Arial" w:cs="Arial"/>
          <w:sz w:val="22"/>
          <w:szCs w:val="22"/>
        </w:rPr>
      </w:pPr>
    </w:p>
    <w:p w14:paraId="2B10463C" w14:textId="577BA1F3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The Interception of Communications Code of Practice, Bulk Acquisition Code of </w:t>
      </w:r>
    </w:p>
    <w:p w14:paraId="2A634051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Practice and Equipment Interference Code of Practice provide guidance on </w:t>
      </w:r>
    </w:p>
    <w:p w14:paraId="3CA73912" w14:textId="729868CB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procedures to be followed in relation to those Parts of the Act.</w:t>
      </w:r>
    </w:p>
    <w:p w14:paraId="338C0C80" w14:textId="26C04DA1" w:rsidR="00FC48B3" w:rsidRPr="0024213C" w:rsidRDefault="00FC48B3" w:rsidP="005A2E83">
      <w:pPr>
        <w:jc w:val="both"/>
        <w:rPr>
          <w:rFonts w:ascii="Arial" w:hAnsi="Arial" w:cs="Arial"/>
          <w:sz w:val="22"/>
          <w:szCs w:val="22"/>
        </w:rPr>
      </w:pPr>
    </w:p>
    <w:p w14:paraId="7645329D" w14:textId="44E580D4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The exercise of powers and duties under Parts 3 and 4 of the Act and this code </w:t>
      </w:r>
      <w:proofErr w:type="gramStart"/>
      <w:r w:rsidRPr="0024213C">
        <w:rPr>
          <w:rFonts w:ascii="Arial" w:hAnsi="Arial" w:cs="Arial"/>
          <w:sz w:val="22"/>
          <w:szCs w:val="22"/>
        </w:rPr>
        <w:t>are</w:t>
      </w:r>
      <w:proofErr w:type="gramEnd"/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57B3B163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kept under review by the IPC appointed under section 227 of the Act and by his </w:t>
      </w:r>
    </w:p>
    <w:p w14:paraId="23A902A6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Judicial Commissioners and inspectors. Duties under Part 4 of the Act and this </w:t>
      </w:r>
    </w:p>
    <w:p w14:paraId="25D7726C" w14:textId="77777777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code in relation to the security, integrity and destruction of data retained under a </w:t>
      </w:r>
    </w:p>
    <w:p w14:paraId="15058B71" w14:textId="394C6165" w:rsidR="001400DE" w:rsidRPr="0024213C" w:rsidRDefault="00C53495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retention </w:t>
      </w:r>
      <w:proofErr w:type="gramStart"/>
      <w:r w:rsidRPr="0024213C">
        <w:rPr>
          <w:rFonts w:ascii="Arial" w:hAnsi="Arial" w:cs="Arial"/>
          <w:sz w:val="22"/>
          <w:szCs w:val="22"/>
        </w:rPr>
        <w:t>notice</w:t>
      </w:r>
      <w:proofErr w:type="gramEnd"/>
      <w:r w:rsidR="001400DE" w:rsidRPr="0024213C">
        <w:rPr>
          <w:rFonts w:ascii="Arial" w:hAnsi="Arial" w:cs="Arial"/>
          <w:sz w:val="22"/>
          <w:szCs w:val="22"/>
        </w:rPr>
        <w:t xml:space="preserve"> are subject to audit by the Information Commissioner. Telecommunications operators and postal operators must comply with </w:t>
      </w:r>
      <w:proofErr w:type="gramStart"/>
      <w:r w:rsidR="001400DE" w:rsidRPr="0024213C">
        <w:rPr>
          <w:rFonts w:ascii="Arial" w:hAnsi="Arial" w:cs="Arial"/>
          <w:sz w:val="22"/>
          <w:szCs w:val="22"/>
        </w:rPr>
        <w:t>reasonable</w:t>
      </w:r>
      <w:proofErr w:type="gramEnd"/>
      <w:r w:rsidR="001400DE" w:rsidRPr="0024213C">
        <w:rPr>
          <w:rFonts w:ascii="Arial" w:hAnsi="Arial" w:cs="Arial"/>
          <w:sz w:val="22"/>
          <w:szCs w:val="22"/>
        </w:rPr>
        <w:t xml:space="preserve"> </w:t>
      </w:r>
    </w:p>
    <w:p w14:paraId="079C30ED" w14:textId="77777777" w:rsidR="005A2E83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requests from the Information Commissioner in relation to his audit role.</w:t>
      </w:r>
    </w:p>
    <w:p w14:paraId="10C333AA" w14:textId="7FB2C0D2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 </w:t>
      </w:r>
    </w:p>
    <w:p w14:paraId="7413A468" w14:textId="37D5B0A3" w:rsidR="001400DE" w:rsidRPr="0024213C" w:rsidRDefault="001400DE" w:rsidP="005A2E83">
      <w:pPr>
        <w:jc w:val="both"/>
        <w:rPr>
          <w:rFonts w:ascii="Arial" w:hAnsi="Arial" w:cs="Arial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 xml:space="preserve">The Home Office may issue further advice directly to public </w:t>
      </w:r>
      <w:proofErr w:type="gramStart"/>
      <w:r w:rsidRPr="0024213C">
        <w:rPr>
          <w:rFonts w:ascii="Arial" w:hAnsi="Arial" w:cs="Arial"/>
          <w:sz w:val="22"/>
          <w:szCs w:val="22"/>
        </w:rPr>
        <w:t xml:space="preserve">authorities, </w:t>
      </w:r>
      <w:r w:rsidR="003921E6">
        <w:rPr>
          <w:rFonts w:ascii="Arial" w:hAnsi="Arial" w:cs="Arial"/>
          <w:sz w:val="22"/>
          <w:szCs w:val="22"/>
        </w:rPr>
        <w:t xml:space="preserve"> </w:t>
      </w:r>
      <w:r w:rsidRPr="0024213C">
        <w:rPr>
          <w:rFonts w:ascii="Arial" w:hAnsi="Arial" w:cs="Arial"/>
          <w:sz w:val="22"/>
          <w:szCs w:val="22"/>
        </w:rPr>
        <w:t>telecommunications</w:t>
      </w:r>
      <w:proofErr w:type="gramEnd"/>
      <w:r w:rsidRPr="0024213C">
        <w:rPr>
          <w:rFonts w:ascii="Arial" w:hAnsi="Arial" w:cs="Arial"/>
          <w:sz w:val="22"/>
          <w:szCs w:val="22"/>
        </w:rPr>
        <w:t xml:space="preserve"> operators and postal operators as necessary.</w:t>
      </w:r>
    </w:p>
    <w:p w14:paraId="3F71E697" w14:textId="77777777" w:rsidR="005A2E83" w:rsidRPr="0024213C" w:rsidRDefault="005A2E83" w:rsidP="005A2E83">
      <w:pPr>
        <w:jc w:val="both"/>
        <w:rPr>
          <w:rFonts w:ascii="Arial" w:hAnsi="Arial" w:cs="Arial"/>
          <w:sz w:val="22"/>
          <w:szCs w:val="22"/>
        </w:rPr>
      </w:pPr>
    </w:p>
    <w:p w14:paraId="693562EA" w14:textId="2893D46C" w:rsidR="00FC48B3" w:rsidRPr="0024213C" w:rsidRDefault="001400DE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213C">
        <w:rPr>
          <w:rFonts w:ascii="Arial" w:hAnsi="Arial" w:cs="Arial"/>
          <w:sz w:val="22"/>
          <w:szCs w:val="22"/>
        </w:rPr>
        <w:t>This code extends to the United Kingdom.</w:t>
      </w:r>
      <w:r w:rsidR="0024213C" w:rsidRPr="0024213C">
        <w:rPr>
          <w:rFonts w:ascii="Arial" w:hAnsi="Arial" w:cs="Arial"/>
          <w:sz w:val="22"/>
          <w:szCs w:val="22"/>
        </w:rPr>
        <w:t xml:space="preserve"> </w:t>
      </w:r>
      <w:r w:rsidRPr="0024213C">
        <w:rPr>
          <w:rFonts w:ascii="Arial" w:hAnsi="Arial" w:cs="Arial"/>
          <w:sz w:val="22"/>
          <w:szCs w:val="22"/>
        </w:rPr>
        <w:t>For the avoidance of doubt, the guidance in this code takes precedence over any contrary content of a public authority’s internal advice or guidance</w:t>
      </w:r>
      <w:r w:rsidR="0024213C" w:rsidRPr="0024213C">
        <w:rPr>
          <w:rFonts w:ascii="Arial" w:hAnsi="Arial" w:cs="Arial"/>
          <w:color w:val="FF0000"/>
          <w:sz w:val="22"/>
          <w:szCs w:val="22"/>
        </w:rPr>
        <w:t>.</w:t>
      </w:r>
    </w:p>
    <w:p w14:paraId="0094A4A4" w14:textId="77777777" w:rsidR="00FC48B3" w:rsidRPr="0024213C" w:rsidRDefault="00FC48B3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882F434" w14:textId="77777777" w:rsidR="00FC48B3" w:rsidRPr="0024213C" w:rsidRDefault="00FC48B3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67AE8E6" w14:textId="77777777" w:rsidR="00FC48B3" w:rsidRPr="0024213C" w:rsidRDefault="00FC48B3" w:rsidP="005A2E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615451" w14:textId="6B4FF897" w:rsidR="009A08AE" w:rsidRDefault="009A08AE" w:rsidP="005A2E83">
      <w:pPr>
        <w:jc w:val="both"/>
      </w:pPr>
    </w:p>
    <w:sectPr w:rsidR="009A08AE" w:rsidSect="00442F29">
      <w:pgSz w:w="11907" w:h="16840" w:code="9"/>
      <w:pgMar w:top="709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45AB" w14:textId="77777777" w:rsidR="00103038" w:rsidRDefault="00103038" w:rsidP="00155D73">
      <w:r>
        <w:separator/>
      </w:r>
    </w:p>
  </w:endnote>
  <w:endnote w:type="continuationSeparator" w:id="0">
    <w:p w14:paraId="3D6D846E" w14:textId="77777777" w:rsidR="00103038" w:rsidRDefault="00103038" w:rsidP="0015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C576" w14:textId="77777777" w:rsidR="00103038" w:rsidRDefault="00103038" w:rsidP="00155D73">
      <w:r>
        <w:separator/>
      </w:r>
    </w:p>
  </w:footnote>
  <w:footnote w:type="continuationSeparator" w:id="0">
    <w:p w14:paraId="6D9B7C6D" w14:textId="77777777" w:rsidR="00103038" w:rsidRDefault="00103038" w:rsidP="0015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5D2B"/>
    <w:multiLevelType w:val="hybridMultilevel"/>
    <w:tmpl w:val="0D328A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FA559F"/>
    <w:multiLevelType w:val="hybridMultilevel"/>
    <w:tmpl w:val="2CB68A20"/>
    <w:lvl w:ilvl="0" w:tplc="26B40F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B3763"/>
    <w:multiLevelType w:val="hybridMultilevel"/>
    <w:tmpl w:val="D9FC4B9A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401513009">
    <w:abstractNumId w:val="2"/>
  </w:num>
  <w:num w:numId="2" w16cid:durableId="279188445">
    <w:abstractNumId w:val="0"/>
  </w:num>
  <w:num w:numId="3" w16cid:durableId="186609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E"/>
    <w:rsid w:val="0001301B"/>
    <w:rsid w:val="0003607A"/>
    <w:rsid w:val="00056CB1"/>
    <w:rsid w:val="0007116E"/>
    <w:rsid w:val="000716A6"/>
    <w:rsid w:val="000A05FE"/>
    <w:rsid w:val="000F707F"/>
    <w:rsid w:val="00102DB5"/>
    <w:rsid w:val="00103038"/>
    <w:rsid w:val="001400DE"/>
    <w:rsid w:val="001465A7"/>
    <w:rsid w:val="00155D73"/>
    <w:rsid w:val="00195178"/>
    <w:rsid w:val="001A17D8"/>
    <w:rsid w:val="001A7223"/>
    <w:rsid w:val="001F57F4"/>
    <w:rsid w:val="0024213C"/>
    <w:rsid w:val="002428EF"/>
    <w:rsid w:val="00253050"/>
    <w:rsid w:val="00264B7A"/>
    <w:rsid w:val="00297A82"/>
    <w:rsid w:val="002C3AFF"/>
    <w:rsid w:val="002D09F5"/>
    <w:rsid w:val="00316A7C"/>
    <w:rsid w:val="00317AF4"/>
    <w:rsid w:val="00323B66"/>
    <w:rsid w:val="003311B2"/>
    <w:rsid w:val="00354C6D"/>
    <w:rsid w:val="00372412"/>
    <w:rsid w:val="00380F1B"/>
    <w:rsid w:val="003921E6"/>
    <w:rsid w:val="003B0B35"/>
    <w:rsid w:val="003E654D"/>
    <w:rsid w:val="003F7EFA"/>
    <w:rsid w:val="0042085C"/>
    <w:rsid w:val="00442F29"/>
    <w:rsid w:val="0048676F"/>
    <w:rsid w:val="004B2706"/>
    <w:rsid w:val="004F654F"/>
    <w:rsid w:val="00507BB7"/>
    <w:rsid w:val="00520DD1"/>
    <w:rsid w:val="005A12C2"/>
    <w:rsid w:val="005A2E83"/>
    <w:rsid w:val="005E2013"/>
    <w:rsid w:val="005F7A24"/>
    <w:rsid w:val="006159C6"/>
    <w:rsid w:val="00626227"/>
    <w:rsid w:val="00652A8D"/>
    <w:rsid w:val="00674929"/>
    <w:rsid w:val="006C711A"/>
    <w:rsid w:val="006E32C0"/>
    <w:rsid w:val="006F20A2"/>
    <w:rsid w:val="006F687C"/>
    <w:rsid w:val="006F7310"/>
    <w:rsid w:val="007008F3"/>
    <w:rsid w:val="00716B6E"/>
    <w:rsid w:val="00717177"/>
    <w:rsid w:val="00734506"/>
    <w:rsid w:val="0076681E"/>
    <w:rsid w:val="00766B50"/>
    <w:rsid w:val="0079288C"/>
    <w:rsid w:val="00796273"/>
    <w:rsid w:val="007973E4"/>
    <w:rsid w:val="007C726C"/>
    <w:rsid w:val="007D185F"/>
    <w:rsid w:val="007E253C"/>
    <w:rsid w:val="0085315C"/>
    <w:rsid w:val="00862D12"/>
    <w:rsid w:val="008661C6"/>
    <w:rsid w:val="008962E5"/>
    <w:rsid w:val="008C0862"/>
    <w:rsid w:val="008C15D3"/>
    <w:rsid w:val="008C1D83"/>
    <w:rsid w:val="008C72A0"/>
    <w:rsid w:val="008E4D29"/>
    <w:rsid w:val="008E61B7"/>
    <w:rsid w:val="008E6ACD"/>
    <w:rsid w:val="0091091E"/>
    <w:rsid w:val="00916AB6"/>
    <w:rsid w:val="00943352"/>
    <w:rsid w:val="009515BD"/>
    <w:rsid w:val="0095175F"/>
    <w:rsid w:val="009633A8"/>
    <w:rsid w:val="009A08AE"/>
    <w:rsid w:val="009B2D74"/>
    <w:rsid w:val="009C1510"/>
    <w:rsid w:val="009C1966"/>
    <w:rsid w:val="009F597A"/>
    <w:rsid w:val="00A01DDB"/>
    <w:rsid w:val="00A06DA0"/>
    <w:rsid w:val="00A20C0E"/>
    <w:rsid w:val="00A21A7E"/>
    <w:rsid w:val="00A30BC7"/>
    <w:rsid w:val="00A67C36"/>
    <w:rsid w:val="00A74ED3"/>
    <w:rsid w:val="00AA4667"/>
    <w:rsid w:val="00AA7B7D"/>
    <w:rsid w:val="00AE295A"/>
    <w:rsid w:val="00AF0585"/>
    <w:rsid w:val="00AF7639"/>
    <w:rsid w:val="00AF77F0"/>
    <w:rsid w:val="00B249B9"/>
    <w:rsid w:val="00B32932"/>
    <w:rsid w:val="00B36702"/>
    <w:rsid w:val="00B55ADE"/>
    <w:rsid w:val="00B64D03"/>
    <w:rsid w:val="00B652AA"/>
    <w:rsid w:val="00BA4E6F"/>
    <w:rsid w:val="00C35791"/>
    <w:rsid w:val="00C45E33"/>
    <w:rsid w:val="00C53495"/>
    <w:rsid w:val="00C66591"/>
    <w:rsid w:val="00CA6930"/>
    <w:rsid w:val="00CB0575"/>
    <w:rsid w:val="00CB28B0"/>
    <w:rsid w:val="00CB4598"/>
    <w:rsid w:val="00CC0086"/>
    <w:rsid w:val="00CC200F"/>
    <w:rsid w:val="00CE1F00"/>
    <w:rsid w:val="00D31EF5"/>
    <w:rsid w:val="00D5467F"/>
    <w:rsid w:val="00D95FD9"/>
    <w:rsid w:val="00DA6C6B"/>
    <w:rsid w:val="00DC3130"/>
    <w:rsid w:val="00E04F5E"/>
    <w:rsid w:val="00E1274F"/>
    <w:rsid w:val="00E546A7"/>
    <w:rsid w:val="00E643A0"/>
    <w:rsid w:val="00E6615C"/>
    <w:rsid w:val="00E75916"/>
    <w:rsid w:val="00E8483C"/>
    <w:rsid w:val="00E9005C"/>
    <w:rsid w:val="00E93218"/>
    <w:rsid w:val="00E96907"/>
    <w:rsid w:val="00EB22F6"/>
    <w:rsid w:val="00ED2178"/>
    <w:rsid w:val="00EE1023"/>
    <w:rsid w:val="00EE6E34"/>
    <w:rsid w:val="00EF6A62"/>
    <w:rsid w:val="00F136E5"/>
    <w:rsid w:val="00F57B43"/>
    <w:rsid w:val="00F63DC6"/>
    <w:rsid w:val="00F75FA1"/>
    <w:rsid w:val="00F9174F"/>
    <w:rsid w:val="00FB0C39"/>
    <w:rsid w:val="00FC48B3"/>
    <w:rsid w:val="00FF3866"/>
    <w:rsid w:val="00FF4D10"/>
    <w:rsid w:val="00FF78E2"/>
    <w:rsid w:val="134D7FEE"/>
    <w:rsid w:val="25AC26C0"/>
    <w:rsid w:val="3366D8F0"/>
    <w:rsid w:val="42F341AD"/>
    <w:rsid w:val="460F846B"/>
    <w:rsid w:val="499F8C9A"/>
    <w:rsid w:val="543B59EC"/>
    <w:rsid w:val="5CC0B26F"/>
    <w:rsid w:val="7352C9A5"/>
    <w:rsid w:val="77FF9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DE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A0"/>
    <w:pPr>
      <w:ind w:left="720"/>
      <w:contextualSpacing/>
    </w:pPr>
  </w:style>
  <w:style w:type="paragraph" w:styleId="Revision">
    <w:name w:val="Revision"/>
    <w:hidden/>
    <w:uiPriority w:val="99"/>
    <w:semiHidden/>
    <w:rsid w:val="00F57B43"/>
    <w:rPr>
      <w:rFonts w:ascii="Garamond" w:hAnsi="Garamond"/>
      <w:sz w:val="24"/>
    </w:rPr>
  </w:style>
  <w:style w:type="character" w:customStyle="1" w:styleId="normaltextrun">
    <w:name w:val="normaltextrun"/>
    <w:basedOn w:val="DefaultParagraphFont"/>
    <w:rsid w:val="00716B6E"/>
  </w:style>
  <w:style w:type="character" w:styleId="CommentReference">
    <w:name w:val="annotation reference"/>
    <w:basedOn w:val="DefaultParagraphFont"/>
    <w:uiPriority w:val="99"/>
    <w:semiHidden/>
    <w:unhideWhenUsed/>
    <w:rsid w:val="008C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86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862"/>
    <w:rPr>
      <w:rFonts w:ascii="Garamond" w:hAnsi="Garamond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B32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9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D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D73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55D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D7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12" baseType="variant"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mailto:Mark.Stuart1@homeoffice.gov.uk</vt:lpwstr>
      </vt:variant>
      <vt:variant>
        <vt:lpwstr/>
      </vt:variant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mailto:Fozia.Forsyth@homeoffice.gov.uk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2023-12-06T15:10:00Z</dcterms:created>
  <dcterms:modified xsi:type="dcterms:W3CDTF">2023-12-06T15:10:00Z</dcterms:modified>
</cp:coreProperties>
</file>