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3EF5" w14:textId="27730021" w:rsidR="00D728BE" w:rsidRPr="00651BA1" w:rsidRDefault="00B60B05" w:rsidP="00B60B05">
      <w:pPr>
        <w:jc w:val="center"/>
        <w:rPr>
          <w:b/>
          <w:bCs/>
          <w:sz w:val="22"/>
          <w:szCs w:val="20"/>
        </w:rPr>
      </w:pPr>
      <w:r w:rsidRPr="00651BA1">
        <w:rPr>
          <w:b/>
          <w:bCs/>
          <w:sz w:val="22"/>
          <w:szCs w:val="20"/>
        </w:rPr>
        <w:t>Policy statement on draft regulations for</w:t>
      </w:r>
      <w:r w:rsidR="00651BA1" w:rsidRPr="00651BA1">
        <w:rPr>
          <w:b/>
          <w:bCs/>
          <w:sz w:val="22"/>
          <w:szCs w:val="20"/>
        </w:rPr>
        <w:t xml:space="preserve"> the notification of proposed changes to telecommunications services </w:t>
      </w:r>
    </w:p>
    <w:p w14:paraId="01D8CAB5" w14:textId="0B6F0CA7" w:rsidR="00651BA1" w:rsidRPr="00651BA1" w:rsidRDefault="00651BA1" w:rsidP="00B60B05">
      <w:pPr>
        <w:jc w:val="center"/>
        <w:rPr>
          <w:sz w:val="22"/>
          <w:szCs w:val="20"/>
        </w:rPr>
      </w:pPr>
    </w:p>
    <w:p w14:paraId="24E3DF04" w14:textId="34AE2D14" w:rsidR="00651BA1" w:rsidRPr="00651BA1" w:rsidRDefault="00651BA1" w:rsidP="00651BA1">
      <w:pPr>
        <w:rPr>
          <w:b/>
          <w:bCs/>
          <w:sz w:val="22"/>
          <w:szCs w:val="20"/>
        </w:rPr>
      </w:pPr>
      <w:r w:rsidRPr="00651BA1">
        <w:rPr>
          <w:b/>
          <w:bCs/>
          <w:sz w:val="22"/>
          <w:szCs w:val="20"/>
        </w:rPr>
        <w:t>Introduction</w:t>
      </w:r>
    </w:p>
    <w:p w14:paraId="457E59D0" w14:textId="1C3D4406" w:rsidR="00CD3380" w:rsidRPr="00CD3380" w:rsidRDefault="00651BA1" w:rsidP="00CD3380">
      <w:pPr>
        <w:pStyle w:val="ListParagraph"/>
        <w:numPr>
          <w:ilvl w:val="0"/>
          <w:numId w:val="4"/>
        </w:numPr>
        <w:rPr>
          <w:sz w:val="22"/>
        </w:rPr>
      </w:pPr>
      <w:r w:rsidRPr="56BB2F25">
        <w:rPr>
          <w:sz w:val="22"/>
        </w:rPr>
        <w:t xml:space="preserve">The notification </w:t>
      </w:r>
      <w:r w:rsidR="00A15D90" w:rsidRPr="56BB2F25">
        <w:rPr>
          <w:sz w:val="22"/>
        </w:rPr>
        <w:t>of proposed changes</w:t>
      </w:r>
      <w:r w:rsidRPr="56BB2F25">
        <w:rPr>
          <w:sz w:val="22"/>
        </w:rPr>
        <w:t xml:space="preserve"> (clause 20 of the Investigatory Powers (Amendment) Bill</w:t>
      </w:r>
      <w:r w:rsidR="00CE4329" w:rsidRPr="56BB2F25">
        <w:rPr>
          <w:sz w:val="22"/>
        </w:rPr>
        <w:t xml:space="preserve"> – new </w:t>
      </w:r>
      <w:r w:rsidR="001574F9" w:rsidRPr="56BB2F25">
        <w:rPr>
          <w:sz w:val="22"/>
        </w:rPr>
        <w:t>s</w:t>
      </w:r>
      <w:r w:rsidR="00836848" w:rsidRPr="56BB2F25">
        <w:rPr>
          <w:sz w:val="22"/>
        </w:rPr>
        <w:t>ection 258A</w:t>
      </w:r>
      <w:r w:rsidR="00245E8A" w:rsidRPr="56BB2F25">
        <w:rPr>
          <w:sz w:val="22"/>
        </w:rPr>
        <w:t>)</w:t>
      </w:r>
      <w:r w:rsidRPr="56BB2F25">
        <w:rPr>
          <w:sz w:val="22"/>
        </w:rPr>
        <w:t xml:space="preserve"> is an obligation that can be placed on relevant operators that </w:t>
      </w:r>
      <w:proofErr w:type="gramStart"/>
      <w:r w:rsidRPr="56BB2F25">
        <w:rPr>
          <w:sz w:val="22"/>
        </w:rPr>
        <w:t>provide</w:t>
      </w:r>
      <w:r w:rsidR="79DF18BA" w:rsidRPr="56BB2F25">
        <w:rPr>
          <w:sz w:val="22"/>
        </w:rPr>
        <w:t>, or</w:t>
      </w:r>
      <w:proofErr w:type="gramEnd"/>
      <w:r w:rsidR="79DF18BA" w:rsidRPr="56BB2F25">
        <w:rPr>
          <w:sz w:val="22"/>
        </w:rPr>
        <w:t xml:space="preserve"> may be expected to provide</w:t>
      </w:r>
      <w:r w:rsidRPr="56BB2F25">
        <w:rPr>
          <w:sz w:val="22"/>
        </w:rPr>
        <w:t xml:space="preserve"> lawful access of significant operational value</w:t>
      </w:r>
      <w:r w:rsidR="200291D7" w:rsidRPr="56BB2F25">
        <w:rPr>
          <w:sz w:val="22"/>
        </w:rPr>
        <w:t>,</w:t>
      </w:r>
      <w:r w:rsidRPr="56BB2F25">
        <w:rPr>
          <w:sz w:val="22"/>
        </w:rPr>
        <w:t xml:space="preserve"> to inform the Secretary of State of technical changes that they are intending to make which could affect lawful access capabilities. </w:t>
      </w:r>
    </w:p>
    <w:p w14:paraId="6E5E3844" w14:textId="77777777" w:rsidR="00545484" w:rsidRDefault="00545484" w:rsidP="00545484">
      <w:pPr>
        <w:pStyle w:val="ListParagraph"/>
        <w:rPr>
          <w:sz w:val="22"/>
          <w:szCs w:val="20"/>
        </w:rPr>
      </w:pPr>
    </w:p>
    <w:p w14:paraId="4FF8E12B" w14:textId="13D6E4BC" w:rsidR="00545484" w:rsidRDefault="00A15D90" w:rsidP="00545484">
      <w:pPr>
        <w:pStyle w:val="ListParagraph"/>
        <w:numPr>
          <w:ilvl w:val="0"/>
          <w:numId w:val="4"/>
        </w:numPr>
        <w:rPr>
          <w:sz w:val="22"/>
          <w:szCs w:val="20"/>
        </w:rPr>
      </w:pPr>
      <w:r>
        <w:rPr>
          <w:sz w:val="22"/>
          <w:szCs w:val="20"/>
        </w:rPr>
        <w:t>This notification requirement is intended</w:t>
      </w:r>
      <w:r w:rsidR="00545484">
        <w:rPr>
          <w:sz w:val="22"/>
          <w:szCs w:val="20"/>
        </w:rPr>
        <w:t xml:space="preserve"> to provide the Secretary of State, and by extension operational partners, with time to understand the potential impact of the changes and ensure exceptional lawful access can be maintained to keep people safe. </w:t>
      </w:r>
    </w:p>
    <w:p w14:paraId="25FB6142" w14:textId="77777777" w:rsidR="00545484" w:rsidRPr="00545484" w:rsidRDefault="00545484" w:rsidP="00545484">
      <w:pPr>
        <w:pStyle w:val="ListParagraph"/>
        <w:rPr>
          <w:sz w:val="22"/>
          <w:szCs w:val="20"/>
        </w:rPr>
      </w:pPr>
    </w:p>
    <w:p w14:paraId="4637EE2F" w14:textId="51C16881" w:rsidR="004D0DE1" w:rsidRDefault="00545484" w:rsidP="00245E8A">
      <w:pPr>
        <w:pStyle w:val="ListParagraph"/>
        <w:numPr>
          <w:ilvl w:val="0"/>
          <w:numId w:val="4"/>
        </w:numPr>
        <w:rPr>
          <w:sz w:val="22"/>
          <w:szCs w:val="20"/>
        </w:rPr>
      </w:pPr>
      <w:r>
        <w:rPr>
          <w:sz w:val="22"/>
          <w:szCs w:val="20"/>
        </w:rPr>
        <w:t>It does not give the Secretary of State any power to intervene in the rollout of these changes, nor is the Secretary of State’s consent required for the rollout to proceed.</w:t>
      </w:r>
    </w:p>
    <w:p w14:paraId="6AB96A1F" w14:textId="77777777" w:rsidR="004D0DE1" w:rsidRPr="004D0DE1" w:rsidRDefault="004D0DE1" w:rsidP="004D0DE1">
      <w:pPr>
        <w:pStyle w:val="ListParagraph"/>
        <w:rPr>
          <w:sz w:val="22"/>
          <w:szCs w:val="20"/>
        </w:rPr>
      </w:pPr>
    </w:p>
    <w:p w14:paraId="42A0F7FE" w14:textId="7654E820" w:rsidR="004D0DE1" w:rsidRDefault="004D0DE1" w:rsidP="00245E8A">
      <w:pPr>
        <w:pStyle w:val="ListParagraph"/>
        <w:numPr>
          <w:ilvl w:val="0"/>
          <w:numId w:val="4"/>
        </w:numPr>
        <w:rPr>
          <w:sz w:val="22"/>
          <w:szCs w:val="20"/>
        </w:rPr>
      </w:pPr>
      <w:r w:rsidRPr="004D0DE1">
        <w:rPr>
          <w:sz w:val="22"/>
          <w:szCs w:val="20"/>
        </w:rPr>
        <w:t>Should the Secretary of State wish to intervene in any way with the change the operator intends to make, the Secretary of State would use the notices regimes in the same way that is currently available to them. However, it does not automatically follow that any notified change will result in a notice.</w:t>
      </w:r>
      <w:r w:rsidR="007B3125">
        <w:rPr>
          <w:sz w:val="22"/>
          <w:szCs w:val="20"/>
        </w:rPr>
        <w:t xml:space="preserve"> </w:t>
      </w:r>
    </w:p>
    <w:p w14:paraId="34569AA0" w14:textId="77777777" w:rsidR="004D0DE1" w:rsidRPr="004D0DE1" w:rsidRDefault="004D0DE1" w:rsidP="004D0DE1">
      <w:pPr>
        <w:pStyle w:val="ListParagraph"/>
        <w:rPr>
          <w:sz w:val="22"/>
          <w:szCs w:val="20"/>
        </w:rPr>
      </w:pPr>
    </w:p>
    <w:p w14:paraId="52306894" w14:textId="525DE802" w:rsidR="00245E8A" w:rsidRPr="004D0DE1" w:rsidRDefault="004D0DE1" w:rsidP="00245E8A">
      <w:pPr>
        <w:pStyle w:val="ListParagraph"/>
        <w:numPr>
          <w:ilvl w:val="0"/>
          <w:numId w:val="4"/>
        </w:numPr>
        <w:rPr>
          <w:sz w:val="22"/>
          <w:szCs w:val="20"/>
        </w:rPr>
      </w:pPr>
      <w:r w:rsidRPr="004D0DE1">
        <w:rPr>
          <w:sz w:val="22"/>
          <w:szCs w:val="20"/>
        </w:rPr>
        <w:t xml:space="preserve">The notifications will be important in giving operational partners time to adjust their ways of working to ensure the capabilities </w:t>
      </w:r>
      <w:r w:rsidR="00B714D2">
        <w:rPr>
          <w:sz w:val="22"/>
          <w:szCs w:val="20"/>
        </w:rPr>
        <w:t>can be provided</w:t>
      </w:r>
      <w:r w:rsidRPr="004D0DE1">
        <w:rPr>
          <w:sz w:val="22"/>
          <w:szCs w:val="20"/>
        </w:rPr>
        <w:t xml:space="preserve"> throughout the process of, and after, the change taking place.</w:t>
      </w:r>
      <w:r>
        <w:rPr>
          <w:sz w:val="22"/>
          <w:szCs w:val="20"/>
        </w:rPr>
        <w:t xml:space="preserve"> </w:t>
      </w:r>
      <w:r w:rsidR="007B3125">
        <w:rPr>
          <w:sz w:val="22"/>
          <w:szCs w:val="20"/>
        </w:rPr>
        <w:t>The primary motivation of this obligation is to create an opportunity for collaborative working in order to protect capabilities and keep people safe.</w:t>
      </w:r>
    </w:p>
    <w:p w14:paraId="496647CC" w14:textId="77777777" w:rsidR="004D0DE1" w:rsidRDefault="004D0DE1" w:rsidP="00245E8A">
      <w:pPr>
        <w:pStyle w:val="ListParagraph"/>
        <w:rPr>
          <w:sz w:val="22"/>
          <w:szCs w:val="20"/>
        </w:rPr>
      </w:pPr>
    </w:p>
    <w:p w14:paraId="6CAB741E" w14:textId="614436C6" w:rsidR="00651BA1" w:rsidRDefault="00545484" w:rsidP="00651BA1">
      <w:pPr>
        <w:pStyle w:val="ListParagraph"/>
        <w:numPr>
          <w:ilvl w:val="0"/>
          <w:numId w:val="4"/>
        </w:numPr>
        <w:rPr>
          <w:sz w:val="22"/>
          <w:szCs w:val="20"/>
        </w:rPr>
      </w:pPr>
      <w:r>
        <w:rPr>
          <w:sz w:val="22"/>
          <w:szCs w:val="20"/>
        </w:rPr>
        <w:t>An</w:t>
      </w:r>
      <w:r w:rsidR="00245E8A">
        <w:rPr>
          <w:sz w:val="22"/>
          <w:szCs w:val="20"/>
        </w:rPr>
        <w:t xml:space="preserve"> operator</w:t>
      </w:r>
      <w:r w:rsidR="00D30C4A">
        <w:rPr>
          <w:sz w:val="22"/>
          <w:szCs w:val="20"/>
        </w:rPr>
        <w:t xml:space="preserve"> does </w:t>
      </w:r>
      <w:r>
        <w:rPr>
          <w:sz w:val="22"/>
          <w:szCs w:val="20"/>
        </w:rPr>
        <w:t>not need to be</w:t>
      </w:r>
      <w:r w:rsidR="00D30C4A">
        <w:rPr>
          <w:sz w:val="22"/>
          <w:szCs w:val="20"/>
        </w:rPr>
        <w:t xml:space="preserve"> </w:t>
      </w:r>
      <w:r>
        <w:rPr>
          <w:sz w:val="22"/>
          <w:szCs w:val="20"/>
        </w:rPr>
        <w:t>under</w:t>
      </w:r>
      <w:r w:rsidR="00D30C4A">
        <w:rPr>
          <w:sz w:val="22"/>
          <w:szCs w:val="20"/>
        </w:rPr>
        <w:t xml:space="preserve"> a</w:t>
      </w:r>
      <w:r>
        <w:rPr>
          <w:sz w:val="22"/>
          <w:szCs w:val="20"/>
        </w:rPr>
        <w:t>n IPA notice</w:t>
      </w:r>
      <w:r w:rsidR="00F927EB">
        <w:rPr>
          <w:rStyle w:val="FootnoteReference"/>
          <w:sz w:val="22"/>
          <w:szCs w:val="20"/>
        </w:rPr>
        <w:footnoteReference w:id="2"/>
      </w:r>
      <w:r>
        <w:rPr>
          <w:sz w:val="22"/>
          <w:szCs w:val="20"/>
        </w:rPr>
        <w:t xml:space="preserve"> </w:t>
      </w:r>
      <w:r w:rsidR="00245E8A">
        <w:rPr>
          <w:sz w:val="22"/>
          <w:szCs w:val="20"/>
        </w:rPr>
        <w:t xml:space="preserve">in </w:t>
      </w:r>
      <w:r>
        <w:rPr>
          <w:sz w:val="22"/>
          <w:szCs w:val="20"/>
        </w:rPr>
        <w:t xml:space="preserve">order to </w:t>
      </w:r>
      <w:r w:rsidR="00245E8A">
        <w:rPr>
          <w:sz w:val="22"/>
          <w:szCs w:val="20"/>
        </w:rPr>
        <w:t xml:space="preserve">receive </w:t>
      </w:r>
      <w:r w:rsidR="00FE1839">
        <w:rPr>
          <w:sz w:val="22"/>
          <w:szCs w:val="20"/>
        </w:rPr>
        <w:t xml:space="preserve">and give effect to </w:t>
      </w:r>
      <w:r w:rsidR="00245E8A">
        <w:rPr>
          <w:sz w:val="22"/>
          <w:szCs w:val="20"/>
        </w:rPr>
        <w:t xml:space="preserve">an </w:t>
      </w:r>
      <w:r w:rsidR="00FE1839">
        <w:rPr>
          <w:sz w:val="22"/>
          <w:szCs w:val="20"/>
        </w:rPr>
        <w:t xml:space="preserve">IPA </w:t>
      </w:r>
      <w:r w:rsidR="00245E8A">
        <w:rPr>
          <w:sz w:val="22"/>
          <w:szCs w:val="20"/>
        </w:rPr>
        <w:t>authorisation</w:t>
      </w:r>
      <w:r w:rsidR="00F33A62">
        <w:rPr>
          <w:sz w:val="22"/>
          <w:szCs w:val="20"/>
        </w:rPr>
        <w:t xml:space="preserve"> or warrant </w:t>
      </w:r>
      <w:r>
        <w:rPr>
          <w:sz w:val="22"/>
          <w:szCs w:val="20"/>
        </w:rPr>
        <w:t>required</w:t>
      </w:r>
      <w:r w:rsidR="00245E8A">
        <w:rPr>
          <w:sz w:val="22"/>
          <w:szCs w:val="20"/>
        </w:rPr>
        <w:t xml:space="preserve"> to </w:t>
      </w:r>
      <w:r w:rsidR="00A15D90">
        <w:rPr>
          <w:sz w:val="22"/>
          <w:szCs w:val="20"/>
        </w:rPr>
        <w:t xml:space="preserve">lawfully </w:t>
      </w:r>
      <w:r w:rsidR="00245E8A">
        <w:rPr>
          <w:sz w:val="22"/>
          <w:szCs w:val="20"/>
        </w:rPr>
        <w:t>access data</w:t>
      </w:r>
      <w:r>
        <w:rPr>
          <w:sz w:val="22"/>
          <w:szCs w:val="20"/>
        </w:rPr>
        <w:t xml:space="preserve">. </w:t>
      </w:r>
      <w:r w:rsidR="00D30C4A">
        <w:rPr>
          <w:sz w:val="22"/>
          <w:szCs w:val="20"/>
        </w:rPr>
        <w:t xml:space="preserve">It is this access to data </w:t>
      </w:r>
      <w:r w:rsidR="00712D1A">
        <w:rPr>
          <w:sz w:val="22"/>
          <w:szCs w:val="20"/>
        </w:rPr>
        <w:t>– where IPA notices are not in place –</w:t>
      </w:r>
      <w:r w:rsidR="00D30C4A">
        <w:rPr>
          <w:sz w:val="22"/>
          <w:szCs w:val="20"/>
        </w:rPr>
        <w:t xml:space="preserve"> the notification requirement intends to safeguard. </w:t>
      </w:r>
    </w:p>
    <w:p w14:paraId="289AEBB2" w14:textId="77777777" w:rsidR="00F0136B" w:rsidRPr="00F0136B" w:rsidRDefault="00F0136B" w:rsidP="00F0136B">
      <w:pPr>
        <w:pStyle w:val="ListParagraph"/>
        <w:rPr>
          <w:sz w:val="22"/>
          <w:szCs w:val="20"/>
        </w:rPr>
      </w:pPr>
    </w:p>
    <w:p w14:paraId="621CD7A0" w14:textId="7D36E3D3" w:rsidR="00EB5A30" w:rsidRDefault="00EB5A30" w:rsidP="00EB5A30">
      <w:pPr>
        <w:pStyle w:val="ListParagraph"/>
        <w:numPr>
          <w:ilvl w:val="0"/>
          <w:numId w:val="4"/>
        </w:numPr>
        <w:rPr>
          <w:sz w:val="22"/>
          <w:szCs w:val="20"/>
        </w:rPr>
      </w:pPr>
      <w:r w:rsidRPr="00F0136B">
        <w:rPr>
          <w:sz w:val="22"/>
          <w:szCs w:val="20"/>
        </w:rPr>
        <w:lastRenderedPageBreak/>
        <w:t xml:space="preserve">A requirement to notify the Secretary of State already exists in current regulations. </w:t>
      </w:r>
      <w:r w:rsidR="004407B4">
        <w:rPr>
          <w:sz w:val="22"/>
          <w:szCs w:val="20"/>
        </w:rPr>
        <w:t>Paragraph</w:t>
      </w:r>
      <w:r>
        <w:rPr>
          <w:sz w:val="22"/>
          <w:szCs w:val="20"/>
        </w:rPr>
        <w:t xml:space="preserve"> 13, Part 1 of </w:t>
      </w:r>
      <w:r w:rsidRPr="00F0136B">
        <w:rPr>
          <w:sz w:val="22"/>
          <w:szCs w:val="20"/>
        </w:rPr>
        <w:t>Schedule 2 of the Investigatory Powers (Technical Capability) Regulations 2018 sets out a requirement for an operator under a Technical Capability Notice (TCN) to notify the Secretary of State within a reasonable time of proposed changes to existing telecommunication services or systems to which obligations imposed by a TCN relate, or the development of new telecommunication services or systems.</w:t>
      </w:r>
    </w:p>
    <w:p w14:paraId="27F25B44" w14:textId="50478096" w:rsidR="00EB5A30" w:rsidRPr="00F0136B" w:rsidRDefault="00EB5A30" w:rsidP="00287881">
      <w:pPr>
        <w:pStyle w:val="ListParagraph"/>
        <w:rPr>
          <w:sz w:val="22"/>
          <w:szCs w:val="20"/>
        </w:rPr>
      </w:pPr>
    </w:p>
    <w:p w14:paraId="7167725A" w14:textId="40FC7650" w:rsidR="00F0136B" w:rsidRDefault="00F0136B" w:rsidP="00651BA1">
      <w:pPr>
        <w:pStyle w:val="ListParagraph"/>
        <w:numPr>
          <w:ilvl w:val="0"/>
          <w:numId w:val="4"/>
        </w:numPr>
        <w:rPr>
          <w:sz w:val="22"/>
          <w:szCs w:val="20"/>
        </w:rPr>
      </w:pPr>
      <w:r>
        <w:rPr>
          <w:sz w:val="22"/>
          <w:szCs w:val="20"/>
        </w:rPr>
        <w:t xml:space="preserve">The Bill </w:t>
      </w:r>
      <w:r w:rsidR="00264D95">
        <w:rPr>
          <w:sz w:val="22"/>
          <w:szCs w:val="20"/>
        </w:rPr>
        <w:t xml:space="preserve">introduces a delegated power </w:t>
      </w:r>
      <w:r w:rsidR="0006547E">
        <w:rPr>
          <w:sz w:val="22"/>
          <w:szCs w:val="20"/>
        </w:rPr>
        <w:t>for</w:t>
      </w:r>
      <w:r w:rsidR="00264D95">
        <w:rPr>
          <w:sz w:val="22"/>
          <w:szCs w:val="20"/>
        </w:rPr>
        <w:t xml:space="preserve"> the Secretary of State to set out in regulations further details regarding relevant changes and associated thresholds that may trigger the Secretary of State to issue a</w:t>
      </w:r>
      <w:r w:rsidR="00C74509">
        <w:rPr>
          <w:sz w:val="22"/>
          <w:szCs w:val="20"/>
        </w:rPr>
        <w:t xml:space="preserve"> notification</w:t>
      </w:r>
      <w:r w:rsidR="00264D95">
        <w:rPr>
          <w:sz w:val="22"/>
          <w:szCs w:val="20"/>
        </w:rPr>
        <w:t xml:space="preserve"> </w:t>
      </w:r>
      <w:r w:rsidR="00C74509">
        <w:rPr>
          <w:sz w:val="22"/>
          <w:szCs w:val="20"/>
        </w:rPr>
        <w:t xml:space="preserve">notice to an operator under clause 20. </w:t>
      </w:r>
      <w:r w:rsidR="00987914">
        <w:rPr>
          <w:sz w:val="22"/>
          <w:szCs w:val="20"/>
        </w:rPr>
        <w:t>This parallels similar regulation making powers already in the IPA</w:t>
      </w:r>
      <w:r w:rsidR="00D370A0">
        <w:rPr>
          <w:sz w:val="22"/>
          <w:szCs w:val="20"/>
        </w:rPr>
        <w:t>, which are</w:t>
      </w:r>
      <w:r w:rsidR="00DA6069">
        <w:rPr>
          <w:sz w:val="22"/>
          <w:szCs w:val="20"/>
        </w:rPr>
        <w:t xml:space="preserve"> specified in Section 267 of the IPA.</w:t>
      </w:r>
    </w:p>
    <w:p w14:paraId="70E69618" w14:textId="77777777" w:rsidR="001928F4" w:rsidRPr="001928F4" w:rsidRDefault="001928F4" w:rsidP="001928F4">
      <w:pPr>
        <w:pStyle w:val="ListParagraph"/>
        <w:rPr>
          <w:sz w:val="22"/>
          <w:szCs w:val="20"/>
        </w:rPr>
      </w:pPr>
    </w:p>
    <w:p w14:paraId="4467CB42" w14:textId="69FC001A" w:rsidR="00ED2B90" w:rsidRDefault="00ED2B90" w:rsidP="00ED2B90">
      <w:pPr>
        <w:pStyle w:val="ListParagraph"/>
        <w:numPr>
          <w:ilvl w:val="0"/>
          <w:numId w:val="4"/>
        </w:numPr>
        <w:rPr>
          <w:sz w:val="22"/>
        </w:rPr>
      </w:pPr>
      <w:r w:rsidRPr="001928F4">
        <w:rPr>
          <w:sz w:val="22"/>
          <w:szCs w:val="20"/>
        </w:rPr>
        <w:t>Due to the technical nature of the IPA</w:t>
      </w:r>
      <w:r w:rsidR="002E191B">
        <w:rPr>
          <w:sz w:val="22"/>
          <w:szCs w:val="20"/>
        </w:rPr>
        <w:t xml:space="preserve"> capabilities</w:t>
      </w:r>
      <w:r w:rsidRPr="001928F4">
        <w:rPr>
          <w:sz w:val="22"/>
          <w:szCs w:val="20"/>
        </w:rPr>
        <w:t>, it is right that further detail is laid out in regulations rather than on the face of the Act. Using secondary legislation rather than primary allows for greater agility to amend regulations</w:t>
      </w:r>
      <w:r>
        <w:rPr>
          <w:sz w:val="22"/>
          <w:szCs w:val="20"/>
        </w:rPr>
        <w:t xml:space="preserve"> – which </w:t>
      </w:r>
      <w:r w:rsidR="002E191B">
        <w:rPr>
          <w:sz w:val="22"/>
          <w:szCs w:val="20"/>
        </w:rPr>
        <w:t>may be</w:t>
      </w:r>
      <w:r>
        <w:rPr>
          <w:sz w:val="22"/>
          <w:szCs w:val="20"/>
        </w:rPr>
        <w:t xml:space="preserve"> technical in nature – </w:t>
      </w:r>
      <w:r w:rsidRPr="001928F4">
        <w:rPr>
          <w:sz w:val="22"/>
          <w:szCs w:val="20"/>
        </w:rPr>
        <w:t>in response to the changing landscape with regards to telecommunications operators and technological advances</w:t>
      </w:r>
      <w:r>
        <w:rPr>
          <w:sz w:val="22"/>
          <w:szCs w:val="20"/>
        </w:rPr>
        <w:t>.</w:t>
      </w:r>
      <w:r w:rsidRPr="001928F4">
        <w:rPr>
          <w:sz w:val="22"/>
          <w:szCs w:val="20"/>
        </w:rPr>
        <w:t xml:space="preserve"> </w:t>
      </w:r>
      <w:r w:rsidRPr="0078576A">
        <w:rPr>
          <w:sz w:val="22"/>
        </w:rPr>
        <w:t>This will ensure the arrangements continue to accurately reflect proportionate, applicable thresholds in response to changes in technology and operational requirements</w:t>
      </w:r>
      <w:r>
        <w:rPr>
          <w:sz w:val="22"/>
        </w:rPr>
        <w:t>, including that the notification requirement does not disproportionately affect operators who do not hold operationally relevant data</w:t>
      </w:r>
      <w:r w:rsidRPr="0078576A">
        <w:rPr>
          <w:sz w:val="22"/>
        </w:rPr>
        <w:t xml:space="preserve">. </w:t>
      </w:r>
    </w:p>
    <w:p w14:paraId="5CED8AD3" w14:textId="77777777" w:rsidR="00ED2B90" w:rsidRPr="00ED2B90" w:rsidRDefault="00ED2B90" w:rsidP="00ED2B90">
      <w:pPr>
        <w:pStyle w:val="ListParagraph"/>
        <w:rPr>
          <w:sz w:val="22"/>
        </w:rPr>
      </w:pPr>
    </w:p>
    <w:p w14:paraId="21544BD2" w14:textId="644B672C" w:rsidR="00C74509" w:rsidRDefault="00ED2B90" w:rsidP="00ED2B90">
      <w:pPr>
        <w:pStyle w:val="ListParagraph"/>
        <w:numPr>
          <w:ilvl w:val="0"/>
          <w:numId w:val="4"/>
        </w:numPr>
        <w:rPr>
          <w:sz w:val="22"/>
        </w:rPr>
      </w:pPr>
      <w:r w:rsidRPr="0078576A">
        <w:rPr>
          <w:sz w:val="22"/>
        </w:rPr>
        <w:t>Given the nature of the obligations to be imposed on operators, it is important that the affirmative Parliamentary procedure applies to regulations made under this clause</w:t>
      </w:r>
      <w:r w:rsidR="00DF1BF0">
        <w:rPr>
          <w:sz w:val="22"/>
        </w:rPr>
        <w:t>.</w:t>
      </w:r>
    </w:p>
    <w:p w14:paraId="0FAC5F9C" w14:textId="77777777" w:rsidR="00ED2B90" w:rsidRPr="00C74509" w:rsidRDefault="00ED2B90" w:rsidP="00C74509">
      <w:pPr>
        <w:pStyle w:val="ListParagraph"/>
        <w:rPr>
          <w:sz w:val="22"/>
          <w:szCs w:val="20"/>
        </w:rPr>
      </w:pPr>
    </w:p>
    <w:p w14:paraId="5254E04C" w14:textId="330066B7" w:rsidR="00A15D90" w:rsidRPr="00FE1839" w:rsidRDefault="00C74509" w:rsidP="00A15D90">
      <w:pPr>
        <w:pStyle w:val="ListParagraph"/>
        <w:numPr>
          <w:ilvl w:val="0"/>
          <w:numId w:val="4"/>
        </w:numPr>
        <w:rPr>
          <w:sz w:val="22"/>
          <w:szCs w:val="20"/>
        </w:rPr>
      </w:pPr>
      <w:r>
        <w:rPr>
          <w:sz w:val="22"/>
          <w:szCs w:val="20"/>
        </w:rPr>
        <w:t xml:space="preserve">This statement is intended to set out </w:t>
      </w:r>
      <w:r w:rsidR="00A15D90">
        <w:rPr>
          <w:sz w:val="22"/>
          <w:szCs w:val="20"/>
        </w:rPr>
        <w:t xml:space="preserve">further details as to how we expect the notification requirement process to work in practice, including </w:t>
      </w:r>
      <w:r w:rsidR="00A15D90" w:rsidRPr="00FE1839">
        <w:rPr>
          <w:sz w:val="22"/>
          <w:szCs w:val="20"/>
        </w:rPr>
        <w:t xml:space="preserve">the associated </w:t>
      </w:r>
      <w:r w:rsidR="00EB6EE7">
        <w:rPr>
          <w:sz w:val="22"/>
          <w:szCs w:val="20"/>
        </w:rPr>
        <w:t>criteria</w:t>
      </w:r>
      <w:r w:rsidR="00B06035">
        <w:rPr>
          <w:sz w:val="22"/>
          <w:szCs w:val="20"/>
        </w:rPr>
        <w:t xml:space="preserve"> triggering a notification notice</w:t>
      </w:r>
      <w:r w:rsidR="007E6701">
        <w:rPr>
          <w:sz w:val="22"/>
          <w:szCs w:val="20"/>
        </w:rPr>
        <w:t xml:space="preserve"> and relevant changes</w:t>
      </w:r>
      <w:r w:rsidR="00A15D90" w:rsidRPr="00FE1839">
        <w:rPr>
          <w:sz w:val="22"/>
          <w:szCs w:val="20"/>
        </w:rPr>
        <w:t xml:space="preserve"> </w:t>
      </w:r>
      <w:r w:rsidR="00B06035">
        <w:rPr>
          <w:sz w:val="22"/>
          <w:szCs w:val="20"/>
        </w:rPr>
        <w:t xml:space="preserve">the Secretary of State must be notified of </w:t>
      </w:r>
      <w:r w:rsidR="00A15D90" w:rsidRPr="00FE1839">
        <w:rPr>
          <w:sz w:val="22"/>
          <w:szCs w:val="20"/>
        </w:rPr>
        <w:t>to ensure this obligation is proportionate.</w:t>
      </w:r>
      <w:r w:rsidR="00A15D90">
        <w:rPr>
          <w:sz w:val="22"/>
          <w:szCs w:val="20"/>
        </w:rPr>
        <w:t xml:space="preserve"> We intend to produce draft regulations </w:t>
      </w:r>
      <w:r w:rsidR="00110EED">
        <w:rPr>
          <w:sz w:val="22"/>
          <w:szCs w:val="20"/>
        </w:rPr>
        <w:t>during the passage of the Bill</w:t>
      </w:r>
      <w:r w:rsidR="00A15D90">
        <w:rPr>
          <w:sz w:val="22"/>
          <w:szCs w:val="20"/>
        </w:rPr>
        <w:t xml:space="preserve">. </w:t>
      </w:r>
    </w:p>
    <w:p w14:paraId="3EA19CE7" w14:textId="1AA283A1" w:rsidR="00F0136B" w:rsidRDefault="00F0136B" w:rsidP="00F0136B">
      <w:pPr>
        <w:rPr>
          <w:b/>
          <w:bCs/>
          <w:sz w:val="22"/>
          <w:szCs w:val="20"/>
        </w:rPr>
      </w:pPr>
      <w:r w:rsidRPr="00F0136B">
        <w:rPr>
          <w:b/>
          <w:bCs/>
          <w:sz w:val="22"/>
          <w:szCs w:val="20"/>
        </w:rPr>
        <w:t>Safeguards</w:t>
      </w:r>
    </w:p>
    <w:p w14:paraId="433D41C3" w14:textId="77777777" w:rsidR="001928F4" w:rsidRPr="001928F4" w:rsidRDefault="001928F4" w:rsidP="001928F4">
      <w:pPr>
        <w:pStyle w:val="ListParagraph"/>
        <w:rPr>
          <w:sz w:val="22"/>
          <w:szCs w:val="20"/>
        </w:rPr>
      </w:pPr>
    </w:p>
    <w:p w14:paraId="1CD18DB7" w14:textId="317139CC" w:rsidR="008F0FCD" w:rsidRDefault="00545484" w:rsidP="008F0FCD">
      <w:pPr>
        <w:pStyle w:val="ListParagraph"/>
        <w:numPr>
          <w:ilvl w:val="0"/>
          <w:numId w:val="4"/>
        </w:numPr>
        <w:rPr>
          <w:sz w:val="22"/>
          <w:szCs w:val="20"/>
        </w:rPr>
      </w:pPr>
      <w:r>
        <w:rPr>
          <w:sz w:val="22"/>
          <w:szCs w:val="20"/>
        </w:rPr>
        <w:t xml:space="preserve">The IPA </w:t>
      </w:r>
      <w:r w:rsidR="00976F02">
        <w:rPr>
          <w:sz w:val="22"/>
          <w:szCs w:val="20"/>
        </w:rPr>
        <w:t>includes stringent safeguards</w:t>
      </w:r>
      <w:r w:rsidR="00B623F7">
        <w:rPr>
          <w:sz w:val="22"/>
          <w:szCs w:val="20"/>
        </w:rPr>
        <w:t xml:space="preserve"> for the notices regimes</w:t>
      </w:r>
      <w:r w:rsidR="00B10631">
        <w:rPr>
          <w:sz w:val="22"/>
          <w:szCs w:val="20"/>
        </w:rPr>
        <w:t xml:space="preserve"> and</w:t>
      </w:r>
      <w:r w:rsidR="00976F02">
        <w:rPr>
          <w:sz w:val="22"/>
          <w:szCs w:val="20"/>
        </w:rPr>
        <w:t xml:space="preserve"> clause 20 seeks to replicate </w:t>
      </w:r>
      <w:r w:rsidR="007210D1">
        <w:rPr>
          <w:sz w:val="22"/>
          <w:szCs w:val="20"/>
        </w:rPr>
        <w:t xml:space="preserve">the </w:t>
      </w:r>
      <w:r w:rsidR="00976F02">
        <w:rPr>
          <w:sz w:val="22"/>
          <w:szCs w:val="20"/>
        </w:rPr>
        <w:t>relevant safeguards</w:t>
      </w:r>
      <w:r w:rsidR="00F0136B">
        <w:rPr>
          <w:sz w:val="22"/>
          <w:szCs w:val="20"/>
        </w:rPr>
        <w:t xml:space="preserve"> regarding a notification notice. This</w:t>
      </w:r>
      <w:r w:rsidR="00976F02">
        <w:rPr>
          <w:sz w:val="22"/>
          <w:szCs w:val="20"/>
        </w:rPr>
        <w:t xml:space="preserve"> inc</w:t>
      </w:r>
      <w:r w:rsidR="00F0136B">
        <w:rPr>
          <w:sz w:val="22"/>
          <w:szCs w:val="20"/>
        </w:rPr>
        <w:t>ludes</w:t>
      </w:r>
      <w:r w:rsidR="00976F02">
        <w:rPr>
          <w:sz w:val="22"/>
          <w:szCs w:val="20"/>
        </w:rPr>
        <w:t xml:space="preserve"> the notice only being issued where the Secretary of State considers it necessary and proportionate to do so. It also sets out other matters the Secretary of State must take into account including the likely benefits of the notice, the likely number of users of a service to which a notice relates, the likely cost of complying and any other effect of the notice on the operator. </w:t>
      </w:r>
    </w:p>
    <w:p w14:paraId="118ACF18" w14:textId="77777777" w:rsidR="008F0FCD" w:rsidRPr="008F0FCD" w:rsidRDefault="008F0FCD" w:rsidP="008F0FCD">
      <w:pPr>
        <w:pStyle w:val="ListParagraph"/>
        <w:rPr>
          <w:sz w:val="22"/>
          <w:szCs w:val="20"/>
        </w:rPr>
      </w:pPr>
    </w:p>
    <w:p w14:paraId="26B0F95F" w14:textId="0305A097" w:rsidR="008F0FCD" w:rsidRPr="008F0FCD" w:rsidRDefault="008F0FCD" w:rsidP="008F0FCD">
      <w:pPr>
        <w:pStyle w:val="ListParagraph"/>
        <w:numPr>
          <w:ilvl w:val="0"/>
          <w:numId w:val="4"/>
        </w:numPr>
        <w:rPr>
          <w:sz w:val="22"/>
          <w:szCs w:val="20"/>
        </w:rPr>
      </w:pPr>
      <w:r w:rsidRPr="008F0FCD">
        <w:rPr>
          <w:sz w:val="22"/>
          <w:szCs w:val="20"/>
        </w:rPr>
        <w:t>The Secretary of State must consult the relevant operator before issuing a</w:t>
      </w:r>
      <w:r>
        <w:rPr>
          <w:sz w:val="22"/>
          <w:szCs w:val="20"/>
        </w:rPr>
        <w:t xml:space="preserve"> notification</w:t>
      </w:r>
      <w:r w:rsidRPr="008F0FCD">
        <w:rPr>
          <w:sz w:val="22"/>
          <w:szCs w:val="20"/>
        </w:rPr>
        <w:t xml:space="preserve"> notice. The consultation will result in an individualised and confidential specification</w:t>
      </w:r>
      <w:r w:rsidR="005B251E">
        <w:rPr>
          <w:sz w:val="22"/>
          <w:szCs w:val="20"/>
        </w:rPr>
        <w:t>, provided as an annex to the notice,</w:t>
      </w:r>
      <w:r w:rsidRPr="008F0FCD">
        <w:rPr>
          <w:sz w:val="22"/>
          <w:szCs w:val="20"/>
        </w:rPr>
        <w:t xml:space="preserve"> </w:t>
      </w:r>
      <w:r w:rsidR="0063589E">
        <w:rPr>
          <w:sz w:val="22"/>
          <w:szCs w:val="20"/>
        </w:rPr>
        <w:t>setting out</w:t>
      </w:r>
      <w:r w:rsidRPr="008F0FCD">
        <w:rPr>
          <w:sz w:val="22"/>
          <w:szCs w:val="20"/>
        </w:rPr>
        <w:t xml:space="preserve"> </w:t>
      </w:r>
      <w:r w:rsidR="002D0267">
        <w:rPr>
          <w:sz w:val="22"/>
          <w:szCs w:val="20"/>
        </w:rPr>
        <w:t>a</w:t>
      </w:r>
      <w:r w:rsidR="000177B0">
        <w:rPr>
          <w:sz w:val="22"/>
          <w:szCs w:val="20"/>
        </w:rPr>
        <w:t xml:space="preserve">pplicable </w:t>
      </w:r>
      <w:r w:rsidR="00385A56">
        <w:rPr>
          <w:sz w:val="22"/>
          <w:szCs w:val="20"/>
        </w:rPr>
        <w:lastRenderedPageBreak/>
        <w:t xml:space="preserve">telecommunications </w:t>
      </w:r>
      <w:r w:rsidR="000177B0">
        <w:rPr>
          <w:sz w:val="22"/>
          <w:szCs w:val="20"/>
        </w:rPr>
        <w:t>services</w:t>
      </w:r>
      <w:r w:rsidR="005A6C0F">
        <w:rPr>
          <w:sz w:val="22"/>
          <w:szCs w:val="20"/>
        </w:rPr>
        <w:t xml:space="preserve"> and systems</w:t>
      </w:r>
      <w:r w:rsidR="007B67AA" w:rsidDel="00BC3F16">
        <w:rPr>
          <w:sz w:val="22"/>
          <w:szCs w:val="20"/>
        </w:rPr>
        <w:t>,</w:t>
      </w:r>
      <w:r w:rsidR="000177B0" w:rsidDel="00BC3F16">
        <w:rPr>
          <w:sz w:val="22"/>
          <w:szCs w:val="20"/>
        </w:rPr>
        <w:t xml:space="preserve"> specific to the company</w:t>
      </w:r>
      <w:r w:rsidR="007B67AA" w:rsidDel="005A6C0F">
        <w:rPr>
          <w:sz w:val="22"/>
          <w:szCs w:val="20"/>
        </w:rPr>
        <w:t>,</w:t>
      </w:r>
      <w:r w:rsidR="007B67AA">
        <w:rPr>
          <w:sz w:val="22"/>
          <w:szCs w:val="20"/>
        </w:rPr>
        <w:t xml:space="preserve"> </w:t>
      </w:r>
      <w:r w:rsidR="000177B0">
        <w:rPr>
          <w:sz w:val="22"/>
          <w:szCs w:val="20"/>
        </w:rPr>
        <w:t>to which the notification requirement applies</w:t>
      </w:r>
      <w:r w:rsidRPr="008F0FCD">
        <w:rPr>
          <w:sz w:val="22"/>
          <w:szCs w:val="20"/>
        </w:rPr>
        <w:t>.</w:t>
      </w:r>
      <w:r w:rsidR="000177B0">
        <w:rPr>
          <w:sz w:val="22"/>
          <w:szCs w:val="20"/>
        </w:rPr>
        <w:t xml:space="preserve"> </w:t>
      </w:r>
      <w:r w:rsidR="00B761FA">
        <w:rPr>
          <w:sz w:val="22"/>
          <w:szCs w:val="20"/>
        </w:rPr>
        <w:t>The operator will only be required to provide</w:t>
      </w:r>
      <w:r w:rsidR="00144B70">
        <w:rPr>
          <w:sz w:val="22"/>
          <w:szCs w:val="20"/>
        </w:rPr>
        <w:t xml:space="preserve"> the Secretary of State with</w:t>
      </w:r>
      <w:r w:rsidR="00B761FA">
        <w:rPr>
          <w:sz w:val="22"/>
          <w:szCs w:val="20"/>
        </w:rPr>
        <w:t xml:space="preserve"> a notification of change</w:t>
      </w:r>
      <w:r w:rsidR="00144B70">
        <w:rPr>
          <w:sz w:val="22"/>
          <w:szCs w:val="20"/>
        </w:rPr>
        <w:t xml:space="preserve"> </w:t>
      </w:r>
      <w:r w:rsidR="00B761FA">
        <w:rPr>
          <w:sz w:val="22"/>
          <w:szCs w:val="20"/>
        </w:rPr>
        <w:t xml:space="preserve">on these specific </w:t>
      </w:r>
      <w:r w:rsidR="00502E96">
        <w:rPr>
          <w:sz w:val="22"/>
          <w:szCs w:val="20"/>
        </w:rPr>
        <w:t>services</w:t>
      </w:r>
      <w:r w:rsidR="003E0516">
        <w:rPr>
          <w:sz w:val="22"/>
          <w:szCs w:val="20"/>
        </w:rPr>
        <w:t xml:space="preserve"> </w:t>
      </w:r>
      <w:r w:rsidR="004D62DC">
        <w:rPr>
          <w:sz w:val="22"/>
          <w:szCs w:val="20"/>
        </w:rPr>
        <w:t>and sy</w:t>
      </w:r>
      <w:r w:rsidR="00385A56">
        <w:rPr>
          <w:sz w:val="22"/>
          <w:szCs w:val="20"/>
        </w:rPr>
        <w:t xml:space="preserve">stems </w:t>
      </w:r>
      <w:r w:rsidR="003E0516">
        <w:rPr>
          <w:sz w:val="22"/>
          <w:szCs w:val="20"/>
        </w:rPr>
        <w:t>wh</w:t>
      </w:r>
      <w:r w:rsidR="0023686A">
        <w:rPr>
          <w:sz w:val="22"/>
          <w:szCs w:val="20"/>
        </w:rPr>
        <w:t>e</w:t>
      </w:r>
      <w:r w:rsidR="00385A56">
        <w:rPr>
          <w:sz w:val="22"/>
          <w:szCs w:val="20"/>
        </w:rPr>
        <w:t>re</w:t>
      </w:r>
      <w:r w:rsidR="0023686A">
        <w:rPr>
          <w:sz w:val="22"/>
          <w:szCs w:val="20"/>
        </w:rPr>
        <w:t xml:space="preserve"> th</w:t>
      </w:r>
      <w:r w:rsidR="00381C79">
        <w:rPr>
          <w:sz w:val="22"/>
          <w:szCs w:val="20"/>
        </w:rPr>
        <w:t>e proposed change</w:t>
      </w:r>
      <w:r w:rsidR="003E0516">
        <w:rPr>
          <w:sz w:val="22"/>
          <w:szCs w:val="20"/>
        </w:rPr>
        <w:t xml:space="preserve"> will result in a negative impact </w:t>
      </w:r>
      <w:r w:rsidR="0063589E">
        <w:rPr>
          <w:sz w:val="22"/>
          <w:szCs w:val="20"/>
        </w:rPr>
        <w:t xml:space="preserve">on lawful access. </w:t>
      </w:r>
    </w:p>
    <w:p w14:paraId="6E981A7F" w14:textId="77777777" w:rsidR="00F0136B" w:rsidRPr="008F0FCD" w:rsidRDefault="00F0136B" w:rsidP="008F0FCD">
      <w:pPr>
        <w:pStyle w:val="ListParagraph"/>
        <w:rPr>
          <w:sz w:val="22"/>
          <w:szCs w:val="20"/>
        </w:rPr>
      </w:pPr>
    </w:p>
    <w:p w14:paraId="5944A34E" w14:textId="467EC3E0" w:rsidR="00F0136B" w:rsidRPr="00987914" w:rsidRDefault="00F0136B" w:rsidP="00F0136B">
      <w:pPr>
        <w:pStyle w:val="ListParagraph"/>
        <w:numPr>
          <w:ilvl w:val="0"/>
          <w:numId w:val="4"/>
        </w:numPr>
        <w:rPr>
          <w:sz w:val="22"/>
          <w:szCs w:val="20"/>
        </w:rPr>
      </w:pPr>
      <w:r w:rsidRPr="00987914">
        <w:rPr>
          <w:sz w:val="22"/>
          <w:szCs w:val="20"/>
        </w:rPr>
        <w:t>D</w:t>
      </w:r>
      <w:r w:rsidR="00987914">
        <w:rPr>
          <w:sz w:val="22"/>
          <w:szCs w:val="20"/>
        </w:rPr>
        <w:t xml:space="preserve">ata </w:t>
      </w:r>
      <w:r w:rsidRPr="00987914">
        <w:rPr>
          <w:sz w:val="22"/>
          <w:szCs w:val="20"/>
        </w:rPr>
        <w:t>R</w:t>
      </w:r>
      <w:r w:rsidR="00987914">
        <w:rPr>
          <w:sz w:val="22"/>
          <w:szCs w:val="20"/>
        </w:rPr>
        <w:t>etention Notices</w:t>
      </w:r>
      <w:r w:rsidRPr="00987914">
        <w:rPr>
          <w:sz w:val="22"/>
          <w:szCs w:val="20"/>
        </w:rPr>
        <w:t>, T</w:t>
      </w:r>
      <w:r w:rsidR="00987914">
        <w:rPr>
          <w:sz w:val="22"/>
          <w:szCs w:val="20"/>
        </w:rPr>
        <w:t>echnical Capability Notices</w:t>
      </w:r>
      <w:r w:rsidRPr="00987914">
        <w:rPr>
          <w:sz w:val="22"/>
          <w:szCs w:val="20"/>
        </w:rPr>
        <w:t xml:space="preserve"> and N</w:t>
      </w:r>
      <w:r w:rsidR="00987914">
        <w:rPr>
          <w:sz w:val="22"/>
          <w:szCs w:val="20"/>
        </w:rPr>
        <w:t xml:space="preserve">ational </w:t>
      </w:r>
      <w:r w:rsidRPr="00987914">
        <w:rPr>
          <w:sz w:val="22"/>
          <w:szCs w:val="20"/>
        </w:rPr>
        <w:t>S</w:t>
      </w:r>
      <w:r w:rsidR="00987914">
        <w:rPr>
          <w:sz w:val="22"/>
          <w:szCs w:val="20"/>
        </w:rPr>
        <w:t xml:space="preserve">ecurity </w:t>
      </w:r>
      <w:r w:rsidRPr="00987914">
        <w:rPr>
          <w:sz w:val="22"/>
          <w:szCs w:val="20"/>
        </w:rPr>
        <w:t>N</w:t>
      </w:r>
      <w:r w:rsidR="00987914">
        <w:rPr>
          <w:sz w:val="22"/>
          <w:szCs w:val="20"/>
        </w:rPr>
        <w:t>otice</w:t>
      </w:r>
      <w:r w:rsidRPr="00987914">
        <w:rPr>
          <w:sz w:val="22"/>
          <w:szCs w:val="20"/>
        </w:rPr>
        <w:t xml:space="preserve">s are critical for maintaining access to data and often require </w:t>
      </w:r>
      <w:r w:rsidR="00987914">
        <w:rPr>
          <w:sz w:val="22"/>
          <w:szCs w:val="20"/>
        </w:rPr>
        <w:t>operator</w:t>
      </w:r>
      <w:r w:rsidRPr="00987914">
        <w:rPr>
          <w:sz w:val="22"/>
          <w:szCs w:val="20"/>
        </w:rPr>
        <w:t xml:space="preserve">s to make changes to their services or systems to ensure they are able to fulfil obligations set out in the notice. This could include retaining </w:t>
      </w:r>
      <w:r w:rsidR="00D64658">
        <w:rPr>
          <w:sz w:val="22"/>
          <w:szCs w:val="20"/>
        </w:rPr>
        <w:t xml:space="preserve">communications </w:t>
      </w:r>
      <w:r w:rsidRPr="00987914">
        <w:rPr>
          <w:sz w:val="22"/>
          <w:szCs w:val="20"/>
        </w:rPr>
        <w:t xml:space="preserve">data for longer than business requirement or building and/or maintaining a technical capability that can be utilised to </w:t>
      </w:r>
      <w:r w:rsidR="00987914">
        <w:rPr>
          <w:sz w:val="22"/>
          <w:szCs w:val="20"/>
        </w:rPr>
        <w:t xml:space="preserve">lawfully </w:t>
      </w:r>
      <w:r w:rsidRPr="00987914">
        <w:rPr>
          <w:sz w:val="22"/>
          <w:szCs w:val="20"/>
        </w:rPr>
        <w:t>access data when a warrant is issued. It is therefore right that the level of oversight reflects the nature of these notices, which includes authorisation by an independent J</w:t>
      </w:r>
      <w:r w:rsidR="00987914">
        <w:rPr>
          <w:sz w:val="22"/>
          <w:szCs w:val="20"/>
        </w:rPr>
        <w:t xml:space="preserve">udicial </w:t>
      </w:r>
      <w:r w:rsidRPr="00987914">
        <w:rPr>
          <w:sz w:val="22"/>
          <w:szCs w:val="20"/>
        </w:rPr>
        <w:t>C</w:t>
      </w:r>
      <w:r w:rsidR="00987914">
        <w:rPr>
          <w:sz w:val="22"/>
          <w:szCs w:val="20"/>
        </w:rPr>
        <w:t>ommissioner</w:t>
      </w:r>
      <w:r w:rsidRPr="00987914">
        <w:rPr>
          <w:sz w:val="22"/>
          <w:szCs w:val="20"/>
        </w:rPr>
        <w:t xml:space="preserve">. </w:t>
      </w:r>
    </w:p>
    <w:p w14:paraId="55B3A12B" w14:textId="77777777" w:rsidR="00F0136B" w:rsidRDefault="00F0136B" w:rsidP="00F0136B">
      <w:pPr>
        <w:pStyle w:val="ListParagraph"/>
      </w:pPr>
    </w:p>
    <w:p w14:paraId="3939D64E" w14:textId="1C5D3390" w:rsidR="00F0136B" w:rsidRDefault="00F0136B" w:rsidP="00F0136B">
      <w:pPr>
        <w:pStyle w:val="ListParagraph"/>
        <w:numPr>
          <w:ilvl w:val="0"/>
          <w:numId w:val="4"/>
        </w:numPr>
        <w:rPr>
          <w:sz w:val="22"/>
          <w:szCs w:val="20"/>
        </w:rPr>
      </w:pPr>
      <w:r w:rsidRPr="00987914">
        <w:rPr>
          <w:sz w:val="22"/>
          <w:szCs w:val="20"/>
        </w:rPr>
        <w:t>A notification requirement will only require relevant operators that have received a notice under section</w:t>
      </w:r>
      <w:r w:rsidR="00CE2A68">
        <w:rPr>
          <w:sz w:val="22"/>
          <w:szCs w:val="20"/>
        </w:rPr>
        <w:t xml:space="preserve"> 258A</w:t>
      </w:r>
      <w:r w:rsidRPr="00987914">
        <w:rPr>
          <w:sz w:val="22"/>
          <w:szCs w:val="20"/>
        </w:rPr>
        <w:t xml:space="preserve"> to inform the S</w:t>
      </w:r>
      <w:r w:rsidR="00987914">
        <w:rPr>
          <w:sz w:val="22"/>
          <w:szCs w:val="20"/>
        </w:rPr>
        <w:t xml:space="preserve">ecretary </w:t>
      </w:r>
      <w:r w:rsidRPr="00987914">
        <w:rPr>
          <w:sz w:val="22"/>
          <w:szCs w:val="20"/>
        </w:rPr>
        <w:t>o</w:t>
      </w:r>
      <w:r w:rsidR="00987914">
        <w:rPr>
          <w:sz w:val="22"/>
          <w:szCs w:val="20"/>
        </w:rPr>
        <w:t xml:space="preserve">f </w:t>
      </w:r>
      <w:r w:rsidRPr="00987914">
        <w:rPr>
          <w:sz w:val="22"/>
          <w:szCs w:val="20"/>
        </w:rPr>
        <w:t>S</w:t>
      </w:r>
      <w:r w:rsidR="00987914">
        <w:rPr>
          <w:sz w:val="22"/>
          <w:szCs w:val="20"/>
        </w:rPr>
        <w:t>tate</w:t>
      </w:r>
      <w:r w:rsidRPr="00987914">
        <w:rPr>
          <w:sz w:val="22"/>
          <w:szCs w:val="20"/>
        </w:rPr>
        <w:t xml:space="preserve"> of relevant changes to relevant services or systems set out in the confidential specification of the notice. It does not require the operator to make any technical changes or provide access to data and therefore the burden on the company in comparison is likely to be small, and there is no additional intrusion</w:t>
      </w:r>
      <w:r w:rsidR="003C0550">
        <w:rPr>
          <w:sz w:val="22"/>
          <w:szCs w:val="20"/>
        </w:rPr>
        <w:t xml:space="preserve"> relating to privacy</w:t>
      </w:r>
      <w:r w:rsidRPr="00987914">
        <w:rPr>
          <w:sz w:val="22"/>
          <w:szCs w:val="20"/>
        </w:rPr>
        <w:t>. It is</w:t>
      </w:r>
      <w:r w:rsidR="00561841">
        <w:rPr>
          <w:sz w:val="22"/>
          <w:szCs w:val="20"/>
        </w:rPr>
        <w:t xml:space="preserve"> for</w:t>
      </w:r>
      <w:r w:rsidRPr="00987914">
        <w:rPr>
          <w:sz w:val="22"/>
          <w:szCs w:val="20"/>
        </w:rPr>
        <w:t xml:space="preserve"> this reason the double lock has not been made a requirement.</w:t>
      </w:r>
    </w:p>
    <w:p w14:paraId="4BCE7FFF" w14:textId="77777777" w:rsidR="008F0FCD" w:rsidRPr="008F0FCD" w:rsidRDefault="008F0FCD" w:rsidP="008F0FCD">
      <w:pPr>
        <w:pStyle w:val="ListParagraph"/>
        <w:rPr>
          <w:sz w:val="22"/>
          <w:szCs w:val="20"/>
        </w:rPr>
      </w:pPr>
    </w:p>
    <w:p w14:paraId="4C112E15" w14:textId="692E71DB" w:rsidR="008F0FCD" w:rsidRPr="008F0FCD" w:rsidRDefault="00700889" w:rsidP="008F0FCD">
      <w:pPr>
        <w:pStyle w:val="ListParagraph"/>
        <w:numPr>
          <w:ilvl w:val="0"/>
          <w:numId w:val="4"/>
        </w:numPr>
        <w:rPr>
          <w:sz w:val="22"/>
          <w:szCs w:val="20"/>
        </w:rPr>
      </w:pPr>
      <w:r>
        <w:rPr>
          <w:sz w:val="22"/>
          <w:szCs w:val="20"/>
        </w:rPr>
        <w:t>Once issued, t</w:t>
      </w:r>
      <w:r w:rsidR="008F0FCD" w:rsidRPr="008F0FCD">
        <w:rPr>
          <w:sz w:val="22"/>
          <w:szCs w:val="20"/>
        </w:rPr>
        <w:t xml:space="preserve">he Secretary of State may vary </w:t>
      </w:r>
      <w:r>
        <w:rPr>
          <w:sz w:val="22"/>
          <w:szCs w:val="20"/>
        </w:rPr>
        <w:t>the notification notice</w:t>
      </w:r>
      <w:r w:rsidR="008F0FCD" w:rsidRPr="008F0FCD">
        <w:rPr>
          <w:sz w:val="22"/>
          <w:szCs w:val="20"/>
        </w:rPr>
        <w:t xml:space="preserve"> if they consider it is necessary and proportionate to do so</w:t>
      </w:r>
      <w:r w:rsidR="00D339C4">
        <w:rPr>
          <w:sz w:val="22"/>
          <w:szCs w:val="20"/>
        </w:rPr>
        <w:t xml:space="preserve">, or revoke </w:t>
      </w:r>
      <w:r w:rsidR="0051776C">
        <w:rPr>
          <w:sz w:val="22"/>
          <w:szCs w:val="20"/>
        </w:rPr>
        <w:t>it in whole or in part</w:t>
      </w:r>
      <w:r w:rsidR="008F0FCD" w:rsidRPr="008F0FCD">
        <w:rPr>
          <w:sz w:val="22"/>
          <w:szCs w:val="20"/>
        </w:rPr>
        <w:t xml:space="preserve">. </w:t>
      </w:r>
      <w:r w:rsidR="006032E9">
        <w:rPr>
          <w:sz w:val="22"/>
          <w:szCs w:val="20"/>
        </w:rPr>
        <w:t>Before varying a notification notice the Secretary of State w</w:t>
      </w:r>
      <w:r w:rsidR="00D860B8">
        <w:rPr>
          <w:sz w:val="22"/>
          <w:szCs w:val="20"/>
        </w:rPr>
        <w:t xml:space="preserve">ill consult the company. </w:t>
      </w:r>
      <w:r w:rsidR="000C0317">
        <w:rPr>
          <w:sz w:val="22"/>
          <w:szCs w:val="20"/>
        </w:rPr>
        <w:t xml:space="preserve"> </w:t>
      </w:r>
    </w:p>
    <w:p w14:paraId="4099B6F7" w14:textId="77777777" w:rsidR="008F0FCD" w:rsidRDefault="008F0FCD" w:rsidP="008F0FCD">
      <w:pPr>
        <w:pStyle w:val="ListParagraph"/>
        <w:rPr>
          <w:sz w:val="22"/>
          <w:szCs w:val="20"/>
        </w:rPr>
      </w:pPr>
    </w:p>
    <w:p w14:paraId="1BCE1550" w14:textId="7D18C16E" w:rsidR="008F0FCD" w:rsidRDefault="00564836" w:rsidP="008F0FCD">
      <w:pPr>
        <w:rPr>
          <w:b/>
          <w:bCs/>
          <w:sz w:val="22"/>
          <w:szCs w:val="20"/>
        </w:rPr>
      </w:pPr>
      <w:r>
        <w:rPr>
          <w:b/>
          <w:bCs/>
          <w:sz w:val="22"/>
          <w:szCs w:val="20"/>
        </w:rPr>
        <w:t>Purpose of the regulations</w:t>
      </w:r>
    </w:p>
    <w:p w14:paraId="3069FE6D" w14:textId="3DCF0811" w:rsidR="004B72E7" w:rsidRPr="004B72E7" w:rsidRDefault="000620F9" w:rsidP="004B72E7">
      <w:pPr>
        <w:pStyle w:val="ListParagraph"/>
        <w:numPr>
          <w:ilvl w:val="0"/>
          <w:numId w:val="4"/>
        </w:numPr>
        <w:rPr>
          <w:sz w:val="22"/>
          <w:szCs w:val="20"/>
        </w:rPr>
      </w:pPr>
      <w:r>
        <w:rPr>
          <w:sz w:val="22"/>
          <w:szCs w:val="20"/>
        </w:rPr>
        <w:t xml:space="preserve">As is clear in the </w:t>
      </w:r>
      <w:r w:rsidR="00A32865">
        <w:rPr>
          <w:sz w:val="22"/>
          <w:szCs w:val="20"/>
        </w:rPr>
        <w:t>clause, t</w:t>
      </w:r>
      <w:r w:rsidR="004B72E7" w:rsidRPr="004B72E7">
        <w:rPr>
          <w:sz w:val="22"/>
          <w:szCs w:val="20"/>
        </w:rPr>
        <w:t xml:space="preserve">he </w:t>
      </w:r>
      <w:r w:rsidR="004B72E7">
        <w:rPr>
          <w:sz w:val="22"/>
          <w:szCs w:val="20"/>
        </w:rPr>
        <w:t xml:space="preserve">notification </w:t>
      </w:r>
      <w:r w:rsidR="004B72E7" w:rsidRPr="004B72E7">
        <w:rPr>
          <w:sz w:val="22"/>
          <w:szCs w:val="20"/>
        </w:rPr>
        <w:t xml:space="preserve">requirement will not impose a blanket obligation on all operators to notify the Secretary of State of all changes. </w:t>
      </w:r>
      <w:r w:rsidR="008579A3">
        <w:rPr>
          <w:sz w:val="22"/>
          <w:szCs w:val="20"/>
        </w:rPr>
        <w:t>Such an obligation</w:t>
      </w:r>
      <w:r w:rsidR="004B72E7" w:rsidRPr="004B72E7">
        <w:rPr>
          <w:sz w:val="22"/>
          <w:szCs w:val="20"/>
        </w:rPr>
        <w:t xml:space="preserve"> would create an unmanageable regime and would </w:t>
      </w:r>
      <w:r w:rsidR="00F72508">
        <w:rPr>
          <w:sz w:val="22"/>
          <w:szCs w:val="20"/>
        </w:rPr>
        <w:t>be</w:t>
      </w:r>
      <w:r w:rsidR="004B72E7" w:rsidRPr="004B72E7">
        <w:rPr>
          <w:sz w:val="22"/>
          <w:szCs w:val="20"/>
        </w:rPr>
        <w:t xml:space="preserve"> </w:t>
      </w:r>
      <w:r w:rsidR="00F72508">
        <w:rPr>
          <w:sz w:val="22"/>
          <w:szCs w:val="20"/>
        </w:rPr>
        <w:t>in</w:t>
      </w:r>
      <w:r w:rsidR="004B72E7" w:rsidRPr="004B72E7">
        <w:rPr>
          <w:sz w:val="22"/>
          <w:szCs w:val="20"/>
        </w:rPr>
        <w:t xml:space="preserve">consistent with the necessity and proportionality safeguards </w:t>
      </w:r>
      <w:r w:rsidR="00F72508">
        <w:rPr>
          <w:sz w:val="22"/>
          <w:szCs w:val="20"/>
        </w:rPr>
        <w:t>which</w:t>
      </w:r>
      <w:r w:rsidR="004B72E7" w:rsidRPr="004B72E7">
        <w:rPr>
          <w:sz w:val="22"/>
          <w:szCs w:val="20"/>
        </w:rPr>
        <w:t xml:space="preserve"> </w:t>
      </w:r>
      <w:r w:rsidR="00EB2D48">
        <w:rPr>
          <w:sz w:val="22"/>
          <w:szCs w:val="20"/>
        </w:rPr>
        <w:t xml:space="preserve">currently </w:t>
      </w:r>
      <w:r w:rsidR="004B72E7" w:rsidRPr="004B72E7">
        <w:rPr>
          <w:sz w:val="22"/>
          <w:szCs w:val="20"/>
        </w:rPr>
        <w:t xml:space="preserve">underpin all powers within the IPA. </w:t>
      </w:r>
    </w:p>
    <w:p w14:paraId="11261E64" w14:textId="0430C6AC" w:rsidR="004B72E7" w:rsidRPr="004B72E7" w:rsidRDefault="004B72E7" w:rsidP="004B72E7">
      <w:pPr>
        <w:pStyle w:val="ListParagraph"/>
        <w:rPr>
          <w:b/>
          <w:bCs/>
          <w:sz w:val="22"/>
          <w:szCs w:val="20"/>
        </w:rPr>
      </w:pPr>
    </w:p>
    <w:p w14:paraId="1A4F96A2" w14:textId="6CFD800C" w:rsidR="00CD39FF" w:rsidRDefault="004D0DE1" w:rsidP="004B72E7">
      <w:pPr>
        <w:pStyle w:val="ListParagraph"/>
        <w:numPr>
          <w:ilvl w:val="0"/>
          <w:numId w:val="4"/>
        </w:numPr>
        <w:rPr>
          <w:sz w:val="22"/>
          <w:szCs w:val="20"/>
        </w:rPr>
      </w:pPr>
      <w:r>
        <w:rPr>
          <w:sz w:val="22"/>
          <w:szCs w:val="20"/>
        </w:rPr>
        <w:t xml:space="preserve">Regulations will set out high level </w:t>
      </w:r>
      <w:r w:rsidR="003A160A">
        <w:rPr>
          <w:sz w:val="22"/>
          <w:szCs w:val="20"/>
        </w:rPr>
        <w:t>criteria</w:t>
      </w:r>
      <w:r w:rsidR="005246FF">
        <w:rPr>
          <w:sz w:val="22"/>
          <w:szCs w:val="20"/>
        </w:rPr>
        <w:t>, as set out in paragraph 22,</w:t>
      </w:r>
      <w:r w:rsidR="000064E0">
        <w:rPr>
          <w:sz w:val="22"/>
          <w:szCs w:val="20"/>
        </w:rPr>
        <w:t xml:space="preserve"> that may trigger the Secretary of State</w:t>
      </w:r>
      <w:r w:rsidR="008F0AEC">
        <w:rPr>
          <w:sz w:val="22"/>
          <w:szCs w:val="20"/>
        </w:rPr>
        <w:t xml:space="preserve"> t</w:t>
      </w:r>
      <w:r w:rsidR="008F0FCD" w:rsidRPr="007837A7">
        <w:rPr>
          <w:sz w:val="22"/>
          <w:szCs w:val="20"/>
        </w:rPr>
        <w:t>o</w:t>
      </w:r>
      <w:r w:rsidR="008F0AEC">
        <w:rPr>
          <w:sz w:val="22"/>
          <w:szCs w:val="20"/>
        </w:rPr>
        <w:t xml:space="preserve"> issue a notification notice</w:t>
      </w:r>
      <w:r w:rsidR="004C5EB4">
        <w:rPr>
          <w:sz w:val="22"/>
          <w:szCs w:val="20"/>
        </w:rPr>
        <w:t xml:space="preserve"> to an operator</w:t>
      </w:r>
      <w:r w:rsidR="008F0AEC">
        <w:rPr>
          <w:sz w:val="22"/>
          <w:szCs w:val="20"/>
        </w:rPr>
        <w:t xml:space="preserve">. </w:t>
      </w:r>
      <w:r w:rsidR="00073E7B">
        <w:rPr>
          <w:sz w:val="22"/>
          <w:szCs w:val="20"/>
        </w:rPr>
        <w:t xml:space="preserve">These criteria must be </w:t>
      </w:r>
      <w:proofErr w:type="gramStart"/>
      <w:r w:rsidR="00073E7B">
        <w:rPr>
          <w:sz w:val="22"/>
          <w:szCs w:val="20"/>
        </w:rPr>
        <w:t>taken into account</w:t>
      </w:r>
      <w:proofErr w:type="gramEnd"/>
      <w:r w:rsidR="00BE7691">
        <w:rPr>
          <w:sz w:val="22"/>
          <w:szCs w:val="20"/>
        </w:rPr>
        <w:t>, along with the considerations detailed in paragraph 11</w:t>
      </w:r>
      <w:r w:rsidR="00073E7B">
        <w:rPr>
          <w:sz w:val="22"/>
          <w:szCs w:val="20"/>
        </w:rPr>
        <w:t xml:space="preserve"> before the Secretary of State issues a notification notice. </w:t>
      </w:r>
      <w:r w:rsidR="008F0AEC">
        <w:rPr>
          <w:sz w:val="22"/>
          <w:szCs w:val="20"/>
        </w:rPr>
        <w:t xml:space="preserve">This will </w:t>
      </w:r>
      <w:r w:rsidR="008F0FCD" w:rsidRPr="007837A7">
        <w:rPr>
          <w:sz w:val="22"/>
          <w:szCs w:val="20"/>
        </w:rPr>
        <w:t>ensure the notification requirement</w:t>
      </w:r>
      <w:r w:rsidR="00967C92" w:rsidRPr="007837A7">
        <w:rPr>
          <w:sz w:val="22"/>
          <w:szCs w:val="20"/>
        </w:rPr>
        <w:t xml:space="preserve"> </w:t>
      </w:r>
      <w:r w:rsidR="008F0FCD" w:rsidRPr="007837A7">
        <w:rPr>
          <w:sz w:val="22"/>
          <w:szCs w:val="20"/>
        </w:rPr>
        <w:t xml:space="preserve">does </w:t>
      </w:r>
      <w:r w:rsidR="00967C92" w:rsidRPr="007837A7">
        <w:rPr>
          <w:sz w:val="22"/>
          <w:szCs w:val="20"/>
        </w:rPr>
        <w:t>not</w:t>
      </w:r>
      <w:r w:rsidR="008F0FCD" w:rsidRPr="007837A7">
        <w:rPr>
          <w:sz w:val="22"/>
          <w:szCs w:val="20"/>
        </w:rPr>
        <w:t xml:space="preserve"> disproportionality affect all operators</w:t>
      </w:r>
      <w:r w:rsidR="000064F1">
        <w:rPr>
          <w:sz w:val="22"/>
          <w:szCs w:val="20"/>
        </w:rPr>
        <w:t>.</w:t>
      </w:r>
      <w:r w:rsidR="009A169D">
        <w:rPr>
          <w:sz w:val="22"/>
          <w:szCs w:val="20"/>
        </w:rPr>
        <w:t xml:space="preserve"> </w:t>
      </w:r>
      <w:r w:rsidR="00513374">
        <w:rPr>
          <w:sz w:val="22"/>
          <w:szCs w:val="20"/>
        </w:rPr>
        <w:t xml:space="preserve">In practice we anticipate this will be a small number of operators who provide lawful access </w:t>
      </w:r>
      <w:r w:rsidR="004759FD">
        <w:rPr>
          <w:sz w:val="22"/>
          <w:szCs w:val="20"/>
        </w:rPr>
        <w:t xml:space="preserve">of significant operational value. </w:t>
      </w:r>
    </w:p>
    <w:p w14:paraId="2C3D773F" w14:textId="77777777" w:rsidR="004B2086" w:rsidRDefault="004B2086" w:rsidP="004B2086">
      <w:pPr>
        <w:pStyle w:val="ListParagraph"/>
        <w:rPr>
          <w:sz w:val="22"/>
          <w:szCs w:val="20"/>
        </w:rPr>
      </w:pPr>
    </w:p>
    <w:p w14:paraId="478E1C3C" w14:textId="2ABAD7D9" w:rsidR="00A1008B" w:rsidRDefault="004B2086" w:rsidP="00A1008B">
      <w:pPr>
        <w:pStyle w:val="ListParagraph"/>
        <w:numPr>
          <w:ilvl w:val="0"/>
          <w:numId w:val="4"/>
        </w:numPr>
        <w:rPr>
          <w:sz w:val="22"/>
          <w:szCs w:val="20"/>
        </w:rPr>
      </w:pPr>
      <w:r>
        <w:rPr>
          <w:sz w:val="22"/>
          <w:szCs w:val="20"/>
        </w:rPr>
        <w:t xml:space="preserve">The regulations will also set out </w:t>
      </w:r>
      <w:r w:rsidR="00CD1E4F">
        <w:rPr>
          <w:sz w:val="22"/>
          <w:szCs w:val="20"/>
        </w:rPr>
        <w:t>details</w:t>
      </w:r>
      <w:r>
        <w:rPr>
          <w:sz w:val="22"/>
          <w:szCs w:val="20"/>
        </w:rPr>
        <w:t xml:space="preserve"> of </w:t>
      </w:r>
      <w:r w:rsidR="00586B0B">
        <w:rPr>
          <w:sz w:val="22"/>
          <w:szCs w:val="20"/>
        </w:rPr>
        <w:t xml:space="preserve">the </w:t>
      </w:r>
      <w:r>
        <w:rPr>
          <w:sz w:val="22"/>
          <w:szCs w:val="20"/>
        </w:rPr>
        <w:t xml:space="preserve">changes which </w:t>
      </w:r>
      <w:r w:rsidDel="00D62BB0">
        <w:rPr>
          <w:sz w:val="22"/>
          <w:szCs w:val="20"/>
        </w:rPr>
        <w:t xml:space="preserve">will </w:t>
      </w:r>
      <w:r w:rsidR="00353A6F">
        <w:rPr>
          <w:sz w:val="22"/>
          <w:szCs w:val="20"/>
        </w:rPr>
        <w:t>trigger the</w:t>
      </w:r>
      <w:r>
        <w:rPr>
          <w:sz w:val="22"/>
          <w:szCs w:val="20"/>
        </w:rPr>
        <w:t xml:space="preserve"> notification </w:t>
      </w:r>
      <w:r w:rsidR="00D27778">
        <w:rPr>
          <w:sz w:val="22"/>
          <w:szCs w:val="20"/>
        </w:rPr>
        <w:t>requirement</w:t>
      </w:r>
      <w:r w:rsidR="00987A25">
        <w:rPr>
          <w:sz w:val="22"/>
          <w:szCs w:val="20"/>
        </w:rPr>
        <w:t xml:space="preserve"> under this obligation.</w:t>
      </w:r>
      <w:r w:rsidR="00CD1E4F">
        <w:rPr>
          <w:sz w:val="22"/>
          <w:szCs w:val="20"/>
        </w:rPr>
        <w:t xml:space="preserve"> </w:t>
      </w:r>
      <w:r w:rsidR="009249A6">
        <w:rPr>
          <w:sz w:val="22"/>
          <w:szCs w:val="20"/>
        </w:rPr>
        <w:t>An operator will only be required to notify the Secretary of State of these changes if they</w:t>
      </w:r>
      <w:r w:rsidR="001E38D4">
        <w:rPr>
          <w:sz w:val="22"/>
          <w:szCs w:val="20"/>
        </w:rPr>
        <w:t xml:space="preserve"> negatively</w:t>
      </w:r>
      <w:r w:rsidR="009249A6">
        <w:rPr>
          <w:sz w:val="22"/>
          <w:szCs w:val="20"/>
        </w:rPr>
        <w:t xml:space="preserve"> impact</w:t>
      </w:r>
      <w:r w:rsidR="001E38D4">
        <w:rPr>
          <w:sz w:val="22"/>
          <w:szCs w:val="20"/>
        </w:rPr>
        <w:t xml:space="preserve"> lawful access capabilities of</w:t>
      </w:r>
      <w:r w:rsidR="009249A6">
        <w:rPr>
          <w:sz w:val="22"/>
          <w:szCs w:val="20"/>
        </w:rPr>
        <w:t xml:space="preserve"> the services set out in the confidential specification. </w:t>
      </w:r>
    </w:p>
    <w:p w14:paraId="086B1D6B" w14:textId="77777777" w:rsidR="00C4006C" w:rsidRPr="00C4006C" w:rsidRDefault="00C4006C" w:rsidP="00C4006C">
      <w:pPr>
        <w:pStyle w:val="ListParagraph"/>
        <w:rPr>
          <w:sz w:val="22"/>
          <w:szCs w:val="20"/>
        </w:rPr>
      </w:pPr>
    </w:p>
    <w:p w14:paraId="7F4FC42C" w14:textId="16BA2CFD" w:rsidR="00C4006C" w:rsidRPr="00B7297B" w:rsidRDefault="005C34A4" w:rsidP="00A1008B">
      <w:pPr>
        <w:pStyle w:val="ListParagraph"/>
        <w:numPr>
          <w:ilvl w:val="0"/>
          <w:numId w:val="4"/>
        </w:numPr>
        <w:rPr>
          <w:sz w:val="22"/>
          <w:szCs w:val="20"/>
        </w:rPr>
      </w:pPr>
      <w:r>
        <w:rPr>
          <w:sz w:val="22"/>
          <w:szCs w:val="20"/>
        </w:rPr>
        <w:t>Details within the regulations m</w:t>
      </w:r>
      <w:r w:rsidR="00154B3B">
        <w:rPr>
          <w:sz w:val="22"/>
          <w:szCs w:val="20"/>
        </w:rPr>
        <w:t>ust</w:t>
      </w:r>
      <w:r>
        <w:rPr>
          <w:sz w:val="22"/>
          <w:szCs w:val="20"/>
        </w:rPr>
        <w:t xml:space="preserve"> be </w:t>
      </w:r>
      <w:r w:rsidR="00CC1658">
        <w:rPr>
          <w:sz w:val="22"/>
          <w:szCs w:val="20"/>
        </w:rPr>
        <w:t>sufficient</w:t>
      </w:r>
      <w:r w:rsidR="002A08BB">
        <w:rPr>
          <w:sz w:val="22"/>
          <w:szCs w:val="20"/>
        </w:rPr>
        <w:t xml:space="preserve"> to demonstrate</w:t>
      </w:r>
      <w:r w:rsidR="007B7D40">
        <w:rPr>
          <w:sz w:val="22"/>
          <w:szCs w:val="20"/>
        </w:rPr>
        <w:t xml:space="preserve"> transparency and</w:t>
      </w:r>
      <w:r w:rsidR="002A08BB">
        <w:rPr>
          <w:sz w:val="22"/>
          <w:szCs w:val="20"/>
        </w:rPr>
        <w:t xml:space="preserve"> proportionality, however </w:t>
      </w:r>
      <w:r w:rsidR="007B7D40">
        <w:rPr>
          <w:sz w:val="22"/>
          <w:szCs w:val="20"/>
        </w:rPr>
        <w:t xml:space="preserve">consideration needs to be given regarding the </w:t>
      </w:r>
      <w:r w:rsidR="00522481">
        <w:rPr>
          <w:sz w:val="22"/>
          <w:szCs w:val="20"/>
        </w:rPr>
        <w:t xml:space="preserve">specific </w:t>
      </w:r>
      <w:r w:rsidR="007B7D40">
        <w:rPr>
          <w:sz w:val="22"/>
          <w:szCs w:val="20"/>
        </w:rPr>
        <w:t xml:space="preserve">level of detail. </w:t>
      </w:r>
      <w:r w:rsidR="00E04556">
        <w:rPr>
          <w:sz w:val="22"/>
          <w:szCs w:val="20"/>
        </w:rPr>
        <w:t xml:space="preserve">Investigatory powers are a critical tool for </w:t>
      </w:r>
      <w:r w:rsidR="00E64A1A">
        <w:rPr>
          <w:sz w:val="22"/>
          <w:szCs w:val="20"/>
        </w:rPr>
        <w:t xml:space="preserve">tackling </w:t>
      </w:r>
      <w:r w:rsidR="00E04556">
        <w:rPr>
          <w:sz w:val="22"/>
          <w:szCs w:val="20"/>
        </w:rPr>
        <w:t xml:space="preserve">national security and the most serious crimes, </w:t>
      </w:r>
      <w:r w:rsidR="00912872">
        <w:rPr>
          <w:sz w:val="22"/>
          <w:szCs w:val="20"/>
        </w:rPr>
        <w:t>it is therefore vita</w:t>
      </w:r>
      <w:r w:rsidR="005A677B">
        <w:rPr>
          <w:sz w:val="22"/>
          <w:szCs w:val="20"/>
        </w:rPr>
        <w:t xml:space="preserve">l </w:t>
      </w:r>
      <w:r w:rsidR="003155A8">
        <w:rPr>
          <w:sz w:val="22"/>
          <w:szCs w:val="20"/>
        </w:rPr>
        <w:t xml:space="preserve">regulations do not inadvertently disclose investigative techniques. </w:t>
      </w:r>
      <w:r w:rsidR="0026736F">
        <w:rPr>
          <w:sz w:val="22"/>
          <w:szCs w:val="20"/>
        </w:rPr>
        <w:t xml:space="preserve">Additional details of the requirements will be set out in the notice, following the consultation between the Secretary of State and the operator. </w:t>
      </w:r>
    </w:p>
    <w:p w14:paraId="750823D2" w14:textId="77777777" w:rsidR="00C7315E" w:rsidRDefault="00C7315E" w:rsidP="00C7315E">
      <w:pPr>
        <w:pStyle w:val="ListParagraph"/>
        <w:rPr>
          <w:sz w:val="22"/>
          <w:szCs w:val="20"/>
        </w:rPr>
      </w:pPr>
    </w:p>
    <w:p w14:paraId="28838AA4" w14:textId="77777777" w:rsidR="001773A4" w:rsidRDefault="001773A4" w:rsidP="00C7315E">
      <w:pPr>
        <w:pStyle w:val="ListParagraph"/>
        <w:rPr>
          <w:sz w:val="22"/>
          <w:szCs w:val="20"/>
        </w:rPr>
      </w:pPr>
    </w:p>
    <w:p w14:paraId="228F09B2" w14:textId="5BF76D77" w:rsidR="00C7315E" w:rsidRDefault="00C7315E" w:rsidP="001773A4">
      <w:pPr>
        <w:pStyle w:val="ListParagraph"/>
        <w:ind w:left="0"/>
        <w:rPr>
          <w:b/>
          <w:bCs/>
          <w:sz w:val="22"/>
          <w:szCs w:val="20"/>
        </w:rPr>
      </w:pPr>
      <w:r w:rsidRPr="007141C1">
        <w:rPr>
          <w:b/>
          <w:bCs/>
          <w:sz w:val="22"/>
          <w:szCs w:val="20"/>
        </w:rPr>
        <w:t>C</w:t>
      </w:r>
      <w:r w:rsidR="001520CF" w:rsidRPr="007141C1">
        <w:rPr>
          <w:b/>
          <w:bCs/>
          <w:sz w:val="22"/>
          <w:szCs w:val="20"/>
        </w:rPr>
        <w:t>rite</w:t>
      </w:r>
      <w:r w:rsidR="001520CF" w:rsidRPr="00C60484">
        <w:rPr>
          <w:b/>
          <w:bCs/>
          <w:sz w:val="22"/>
          <w:szCs w:val="20"/>
        </w:rPr>
        <w:t xml:space="preserve">ria </w:t>
      </w:r>
      <w:r>
        <w:rPr>
          <w:b/>
          <w:bCs/>
          <w:sz w:val="22"/>
          <w:szCs w:val="20"/>
        </w:rPr>
        <w:t xml:space="preserve">triggering </w:t>
      </w:r>
      <w:r w:rsidR="0067710D">
        <w:rPr>
          <w:b/>
          <w:bCs/>
          <w:sz w:val="22"/>
          <w:szCs w:val="20"/>
        </w:rPr>
        <w:t xml:space="preserve">the Secretary of State to issue a notification </w:t>
      </w:r>
      <w:proofErr w:type="gramStart"/>
      <w:r w:rsidR="0067710D">
        <w:rPr>
          <w:b/>
          <w:bCs/>
          <w:sz w:val="22"/>
          <w:szCs w:val="20"/>
        </w:rPr>
        <w:t>notice</w:t>
      </w:r>
      <w:proofErr w:type="gramEnd"/>
    </w:p>
    <w:p w14:paraId="44D7F923" w14:textId="77777777" w:rsidR="00C7315E" w:rsidRDefault="00C7315E" w:rsidP="00C7315E">
      <w:pPr>
        <w:pStyle w:val="ListParagraph"/>
        <w:rPr>
          <w:b/>
          <w:bCs/>
          <w:sz w:val="22"/>
          <w:szCs w:val="20"/>
        </w:rPr>
      </w:pPr>
    </w:p>
    <w:p w14:paraId="4E7B21D4" w14:textId="4A755C1A" w:rsidR="00E10371" w:rsidRDefault="001520CF" w:rsidP="00565D76">
      <w:pPr>
        <w:pStyle w:val="ListParagraph"/>
        <w:numPr>
          <w:ilvl w:val="0"/>
          <w:numId w:val="4"/>
        </w:numPr>
        <w:rPr>
          <w:sz w:val="22"/>
          <w:szCs w:val="20"/>
        </w:rPr>
      </w:pPr>
      <w:r w:rsidRPr="0067710D">
        <w:rPr>
          <w:sz w:val="22"/>
          <w:szCs w:val="20"/>
        </w:rPr>
        <w:t>The</w:t>
      </w:r>
      <w:r w:rsidR="00EA69B7">
        <w:rPr>
          <w:sz w:val="22"/>
          <w:szCs w:val="20"/>
        </w:rPr>
        <w:t xml:space="preserve"> </w:t>
      </w:r>
      <w:r w:rsidRPr="0067710D">
        <w:rPr>
          <w:sz w:val="22"/>
          <w:szCs w:val="20"/>
        </w:rPr>
        <w:t>operator</w:t>
      </w:r>
      <w:r w:rsidR="002770AE">
        <w:rPr>
          <w:sz w:val="22"/>
          <w:szCs w:val="20"/>
        </w:rPr>
        <w:t xml:space="preserve"> must</w:t>
      </w:r>
      <w:r w:rsidRPr="0067710D">
        <w:rPr>
          <w:sz w:val="22"/>
          <w:szCs w:val="20"/>
        </w:rPr>
        <w:t xml:space="preserve"> provide</w:t>
      </w:r>
      <w:r w:rsidR="00AB303D">
        <w:rPr>
          <w:sz w:val="22"/>
          <w:szCs w:val="20"/>
        </w:rPr>
        <w:t>, or be expected to provide,</w:t>
      </w:r>
      <w:r w:rsidRPr="0067710D">
        <w:rPr>
          <w:sz w:val="22"/>
          <w:szCs w:val="20"/>
        </w:rPr>
        <w:t xml:space="preserve"> </w:t>
      </w:r>
      <w:r w:rsidR="00163266" w:rsidRPr="0067710D">
        <w:rPr>
          <w:sz w:val="22"/>
          <w:szCs w:val="20"/>
        </w:rPr>
        <w:t>lawful access</w:t>
      </w:r>
      <w:r w:rsidR="00B5659B" w:rsidRPr="0067710D">
        <w:rPr>
          <w:sz w:val="22"/>
          <w:szCs w:val="20"/>
        </w:rPr>
        <w:t xml:space="preserve"> of significant operational value</w:t>
      </w:r>
      <w:r w:rsidR="002962B1" w:rsidRPr="0067710D">
        <w:rPr>
          <w:sz w:val="22"/>
          <w:szCs w:val="20"/>
        </w:rPr>
        <w:t>.</w:t>
      </w:r>
      <w:r w:rsidR="00B82CF2">
        <w:rPr>
          <w:sz w:val="22"/>
          <w:szCs w:val="20"/>
        </w:rPr>
        <w:t xml:space="preserve"> </w:t>
      </w:r>
      <w:r w:rsidR="00DE43FB">
        <w:rPr>
          <w:sz w:val="22"/>
          <w:szCs w:val="20"/>
        </w:rPr>
        <w:t xml:space="preserve">This will be informed by an assessment provided by law enforcement and agencies </w:t>
      </w:r>
      <w:r w:rsidR="00565D76">
        <w:rPr>
          <w:sz w:val="22"/>
          <w:szCs w:val="20"/>
        </w:rPr>
        <w:t xml:space="preserve">and will form part of the necessity and proportionality case </w:t>
      </w:r>
      <w:r w:rsidR="003268E8" w:rsidRPr="00565D76">
        <w:rPr>
          <w:sz w:val="22"/>
          <w:szCs w:val="20"/>
        </w:rPr>
        <w:t xml:space="preserve">the Secretary of State </w:t>
      </w:r>
      <w:r w:rsidR="001D6AEE" w:rsidRPr="00565D76">
        <w:rPr>
          <w:sz w:val="22"/>
          <w:szCs w:val="20"/>
        </w:rPr>
        <w:t xml:space="preserve">will consider before issuing a </w:t>
      </w:r>
      <w:r w:rsidR="00B52FF8" w:rsidRPr="00565D76">
        <w:rPr>
          <w:sz w:val="22"/>
          <w:szCs w:val="20"/>
        </w:rPr>
        <w:t xml:space="preserve">notification </w:t>
      </w:r>
      <w:r w:rsidR="001D6AEE" w:rsidRPr="00565D76">
        <w:rPr>
          <w:sz w:val="22"/>
          <w:szCs w:val="20"/>
        </w:rPr>
        <w:t>notice</w:t>
      </w:r>
      <w:r w:rsidR="000A018D" w:rsidRPr="00565D76">
        <w:rPr>
          <w:sz w:val="22"/>
          <w:szCs w:val="20"/>
        </w:rPr>
        <w:t>.</w:t>
      </w:r>
      <w:r w:rsidR="001D6AEE" w:rsidRPr="00565D76">
        <w:rPr>
          <w:sz w:val="22"/>
          <w:szCs w:val="20"/>
        </w:rPr>
        <w:t xml:space="preserve"> </w:t>
      </w:r>
      <w:r w:rsidR="0010492E">
        <w:rPr>
          <w:sz w:val="22"/>
          <w:szCs w:val="20"/>
        </w:rPr>
        <w:t xml:space="preserve">This replicates the assessment that is made </w:t>
      </w:r>
      <w:r w:rsidR="0082281E">
        <w:rPr>
          <w:sz w:val="22"/>
          <w:szCs w:val="20"/>
        </w:rPr>
        <w:t xml:space="preserve">before </w:t>
      </w:r>
      <w:r w:rsidR="009C1511">
        <w:rPr>
          <w:sz w:val="22"/>
          <w:szCs w:val="20"/>
        </w:rPr>
        <w:t>the Secretary of State issues</w:t>
      </w:r>
      <w:r w:rsidR="0082281E">
        <w:rPr>
          <w:sz w:val="22"/>
          <w:szCs w:val="20"/>
        </w:rPr>
        <w:t xml:space="preserve"> any other notice to an operator under the IPA</w:t>
      </w:r>
      <w:r w:rsidR="00E10371">
        <w:rPr>
          <w:sz w:val="22"/>
          <w:szCs w:val="20"/>
        </w:rPr>
        <w:t xml:space="preserve"> and ensures</w:t>
      </w:r>
      <w:r w:rsidR="00623696">
        <w:rPr>
          <w:sz w:val="22"/>
          <w:szCs w:val="20"/>
        </w:rPr>
        <w:t xml:space="preserve"> the sa</w:t>
      </w:r>
      <w:r w:rsidR="00A25599">
        <w:rPr>
          <w:sz w:val="22"/>
          <w:szCs w:val="20"/>
        </w:rPr>
        <w:t xml:space="preserve">me high threshold must be met </w:t>
      </w:r>
      <w:r w:rsidR="006C55EB">
        <w:rPr>
          <w:sz w:val="22"/>
          <w:szCs w:val="20"/>
        </w:rPr>
        <w:t xml:space="preserve">before issuing a notification notice. </w:t>
      </w:r>
    </w:p>
    <w:p w14:paraId="3D544414" w14:textId="77777777" w:rsidR="00E10371" w:rsidRDefault="00E10371" w:rsidP="00E10371">
      <w:pPr>
        <w:pStyle w:val="ListParagraph"/>
        <w:rPr>
          <w:sz w:val="22"/>
          <w:szCs w:val="20"/>
        </w:rPr>
      </w:pPr>
    </w:p>
    <w:p w14:paraId="5D3D9B28" w14:textId="64CD9183" w:rsidR="00587336" w:rsidRDefault="0082281E" w:rsidP="00565D76">
      <w:pPr>
        <w:pStyle w:val="ListParagraph"/>
        <w:numPr>
          <w:ilvl w:val="0"/>
          <w:numId w:val="4"/>
        </w:numPr>
        <w:rPr>
          <w:sz w:val="22"/>
          <w:szCs w:val="20"/>
        </w:rPr>
      </w:pPr>
      <w:r>
        <w:rPr>
          <w:sz w:val="22"/>
          <w:szCs w:val="20"/>
        </w:rPr>
        <w:t xml:space="preserve"> </w:t>
      </w:r>
      <w:r w:rsidR="00A211F5" w:rsidRPr="00565D76">
        <w:rPr>
          <w:sz w:val="22"/>
          <w:szCs w:val="20"/>
        </w:rPr>
        <w:t xml:space="preserve">When </w:t>
      </w:r>
      <w:r w:rsidR="00565D76">
        <w:rPr>
          <w:sz w:val="22"/>
          <w:szCs w:val="20"/>
        </w:rPr>
        <w:t>conducting</w:t>
      </w:r>
      <w:r w:rsidR="00A211F5" w:rsidRPr="00565D76">
        <w:rPr>
          <w:sz w:val="22"/>
          <w:szCs w:val="20"/>
        </w:rPr>
        <w:t xml:space="preserve"> this</w:t>
      </w:r>
      <w:r w:rsidR="001D6AEE" w:rsidRPr="00565D76">
        <w:rPr>
          <w:sz w:val="22"/>
          <w:szCs w:val="20"/>
        </w:rPr>
        <w:t xml:space="preserve"> </w:t>
      </w:r>
      <w:r w:rsidR="00BE2E7C" w:rsidRPr="00565D76">
        <w:rPr>
          <w:sz w:val="22"/>
          <w:szCs w:val="20"/>
        </w:rPr>
        <w:t>assessment,</w:t>
      </w:r>
      <w:r w:rsidR="00BE2E7C">
        <w:rPr>
          <w:sz w:val="22"/>
          <w:szCs w:val="20"/>
        </w:rPr>
        <w:t xml:space="preserve"> the criteria that must be</w:t>
      </w:r>
      <w:r w:rsidR="00F94C75" w:rsidRPr="00565D76">
        <w:rPr>
          <w:sz w:val="22"/>
          <w:szCs w:val="20"/>
        </w:rPr>
        <w:t xml:space="preserve"> consider</w:t>
      </w:r>
      <w:r w:rsidR="00BE2E7C">
        <w:rPr>
          <w:sz w:val="22"/>
          <w:szCs w:val="20"/>
        </w:rPr>
        <w:t>ed</w:t>
      </w:r>
      <w:r w:rsidR="00F94C75" w:rsidRPr="00565D76">
        <w:rPr>
          <w:sz w:val="22"/>
          <w:szCs w:val="20"/>
        </w:rPr>
        <w:t>, but is not limited to</w:t>
      </w:r>
      <w:r w:rsidR="00587336" w:rsidRPr="00565D76">
        <w:rPr>
          <w:sz w:val="22"/>
          <w:szCs w:val="20"/>
        </w:rPr>
        <w:t xml:space="preserve">: </w:t>
      </w:r>
    </w:p>
    <w:p w14:paraId="104DDB20" w14:textId="77777777" w:rsidR="00A36CAF" w:rsidRPr="00565D76" w:rsidRDefault="00A36CAF" w:rsidP="00A36CAF">
      <w:pPr>
        <w:pStyle w:val="ListParagraph"/>
        <w:rPr>
          <w:sz w:val="22"/>
          <w:szCs w:val="20"/>
        </w:rPr>
      </w:pPr>
    </w:p>
    <w:p w14:paraId="7D7C4C8B" w14:textId="18DCD760" w:rsidR="00D27363" w:rsidRDefault="00EA61F2" w:rsidP="00D27363">
      <w:pPr>
        <w:pStyle w:val="ListParagraph"/>
        <w:numPr>
          <w:ilvl w:val="0"/>
          <w:numId w:val="11"/>
        </w:numPr>
        <w:rPr>
          <w:sz w:val="22"/>
          <w:szCs w:val="20"/>
        </w:rPr>
      </w:pPr>
      <w:r>
        <w:rPr>
          <w:sz w:val="22"/>
          <w:szCs w:val="20"/>
        </w:rPr>
        <w:t xml:space="preserve">the </w:t>
      </w:r>
      <w:r w:rsidR="00441721">
        <w:rPr>
          <w:sz w:val="22"/>
          <w:szCs w:val="20"/>
        </w:rPr>
        <w:t>current or expected</w:t>
      </w:r>
      <w:r>
        <w:rPr>
          <w:sz w:val="22"/>
          <w:szCs w:val="20"/>
        </w:rPr>
        <w:t xml:space="preserve"> number of </w:t>
      </w:r>
      <w:r w:rsidR="00587336">
        <w:rPr>
          <w:sz w:val="22"/>
          <w:szCs w:val="20"/>
        </w:rPr>
        <w:t xml:space="preserve">IPA </w:t>
      </w:r>
      <w:r w:rsidR="006F0DAF">
        <w:rPr>
          <w:sz w:val="22"/>
          <w:szCs w:val="20"/>
        </w:rPr>
        <w:t xml:space="preserve">warrants, authorisations or requests </w:t>
      </w:r>
      <w:r w:rsidR="00684767">
        <w:rPr>
          <w:sz w:val="22"/>
          <w:szCs w:val="20"/>
        </w:rPr>
        <w:t>issued to</w:t>
      </w:r>
      <w:r w:rsidR="006F0DAF">
        <w:rPr>
          <w:sz w:val="22"/>
          <w:szCs w:val="20"/>
        </w:rPr>
        <w:t xml:space="preserve"> the </w:t>
      </w:r>
      <w:r w:rsidR="00D27363">
        <w:rPr>
          <w:sz w:val="22"/>
          <w:szCs w:val="20"/>
        </w:rPr>
        <w:t>operator.</w:t>
      </w:r>
    </w:p>
    <w:p w14:paraId="17417A62" w14:textId="1679D5C4" w:rsidR="006A0225" w:rsidRDefault="006A0225" w:rsidP="00D27363">
      <w:pPr>
        <w:pStyle w:val="ListParagraph"/>
        <w:numPr>
          <w:ilvl w:val="0"/>
          <w:numId w:val="11"/>
        </w:numPr>
        <w:rPr>
          <w:sz w:val="22"/>
          <w:szCs w:val="20"/>
        </w:rPr>
      </w:pPr>
      <w:r>
        <w:rPr>
          <w:sz w:val="22"/>
          <w:szCs w:val="20"/>
        </w:rPr>
        <w:t xml:space="preserve">the operational importance of the data provided under </w:t>
      </w:r>
      <w:r w:rsidR="00266BD3">
        <w:rPr>
          <w:sz w:val="22"/>
          <w:szCs w:val="20"/>
        </w:rPr>
        <w:t>a</w:t>
      </w:r>
      <w:r w:rsidR="006B6262">
        <w:rPr>
          <w:sz w:val="22"/>
          <w:szCs w:val="20"/>
        </w:rPr>
        <w:t>)</w:t>
      </w:r>
      <w:r w:rsidR="00266BD3">
        <w:rPr>
          <w:sz w:val="22"/>
          <w:szCs w:val="20"/>
        </w:rPr>
        <w:t>.</w:t>
      </w:r>
    </w:p>
    <w:p w14:paraId="288E49BD" w14:textId="4F038A05" w:rsidR="00D27363" w:rsidRDefault="00FF3AAE" w:rsidP="00D27363">
      <w:pPr>
        <w:pStyle w:val="ListParagraph"/>
        <w:numPr>
          <w:ilvl w:val="0"/>
          <w:numId w:val="11"/>
        </w:numPr>
        <w:rPr>
          <w:sz w:val="22"/>
          <w:szCs w:val="20"/>
        </w:rPr>
      </w:pPr>
      <w:r w:rsidRPr="00D27363">
        <w:rPr>
          <w:sz w:val="22"/>
          <w:szCs w:val="20"/>
        </w:rPr>
        <w:t xml:space="preserve">the types of services </w:t>
      </w:r>
      <w:r w:rsidR="00A6208E" w:rsidRPr="00D27363">
        <w:rPr>
          <w:sz w:val="22"/>
          <w:szCs w:val="20"/>
        </w:rPr>
        <w:t>the operator provide</w:t>
      </w:r>
      <w:r w:rsidR="00F105F6">
        <w:rPr>
          <w:sz w:val="22"/>
          <w:szCs w:val="20"/>
        </w:rPr>
        <w:t>s</w:t>
      </w:r>
      <w:r w:rsidR="00F27B7A">
        <w:rPr>
          <w:sz w:val="22"/>
          <w:szCs w:val="20"/>
        </w:rPr>
        <w:t>.</w:t>
      </w:r>
    </w:p>
    <w:p w14:paraId="7B501A02" w14:textId="704844E9" w:rsidR="00D27363" w:rsidRDefault="00080B0A" w:rsidP="00D27363">
      <w:pPr>
        <w:pStyle w:val="ListParagraph"/>
        <w:numPr>
          <w:ilvl w:val="0"/>
          <w:numId w:val="11"/>
        </w:numPr>
        <w:rPr>
          <w:sz w:val="22"/>
          <w:szCs w:val="20"/>
        </w:rPr>
      </w:pPr>
      <w:r w:rsidRPr="00D27363">
        <w:rPr>
          <w:sz w:val="22"/>
          <w:szCs w:val="20"/>
        </w:rPr>
        <w:t>the customer base</w:t>
      </w:r>
      <w:r w:rsidR="00D27363">
        <w:rPr>
          <w:sz w:val="22"/>
          <w:szCs w:val="20"/>
        </w:rPr>
        <w:t xml:space="preserve"> of the operator</w:t>
      </w:r>
      <w:r w:rsidR="00F27B7A">
        <w:rPr>
          <w:sz w:val="22"/>
          <w:szCs w:val="20"/>
        </w:rPr>
        <w:t>.</w:t>
      </w:r>
      <w:r w:rsidR="00D27363">
        <w:rPr>
          <w:sz w:val="22"/>
          <w:szCs w:val="20"/>
        </w:rPr>
        <w:t xml:space="preserve"> </w:t>
      </w:r>
    </w:p>
    <w:p w14:paraId="721F9DC7" w14:textId="04F73D45" w:rsidR="00784CE3" w:rsidRDefault="00470391" w:rsidP="00784CE3">
      <w:pPr>
        <w:pStyle w:val="ListParagraph"/>
        <w:numPr>
          <w:ilvl w:val="0"/>
          <w:numId w:val="11"/>
        </w:numPr>
        <w:rPr>
          <w:sz w:val="22"/>
          <w:szCs w:val="20"/>
        </w:rPr>
      </w:pPr>
      <w:r w:rsidRPr="00D27363">
        <w:rPr>
          <w:sz w:val="22"/>
          <w:szCs w:val="20"/>
        </w:rPr>
        <w:t xml:space="preserve">the </w:t>
      </w:r>
      <w:r w:rsidR="00FC6A44">
        <w:rPr>
          <w:sz w:val="22"/>
          <w:szCs w:val="20"/>
        </w:rPr>
        <w:t xml:space="preserve">likely </w:t>
      </w:r>
      <w:r w:rsidRPr="00D27363">
        <w:rPr>
          <w:sz w:val="22"/>
          <w:szCs w:val="20"/>
        </w:rPr>
        <w:t xml:space="preserve">number of users </w:t>
      </w:r>
      <w:r w:rsidR="005151A6">
        <w:rPr>
          <w:sz w:val="22"/>
          <w:szCs w:val="20"/>
        </w:rPr>
        <w:t>(if known)</w:t>
      </w:r>
      <w:r w:rsidRPr="00D27363">
        <w:rPr>
          <w:sz w:val="22"/>
          <w:szCs w:val="20"/>
        </w:rPr>
        <w:t xml:space="preserve"> of a service</w:t>
      </w:r>
      <w:r w:rsidR="00784CE3">
        <w:rPr>
          <w:sz w:val="22"/>
          <w:szCs w:val="20"/>
        </w:rPr>
        <w:t>.</w:t>
      </w:r>
    </w:p>
    <w:p w14:paraId="66A054C8" w14:textId="135B28D1" w:rsidR="003B4CC5" w:rsidRPr="00784CE3" w:rsidRDefault="00243658" w:rsidP="00784CE3">
      <w:pPr>
        <w:pStyle w:val="ListParagraph"/>
        <w:numPr>
          <w:ilvl w:val="0"/>
          <w:numId w:val="11"/>
        </w:numPr>
        <w:rPr>
          <w:sz w:val="22"/>
          <w:szCs w:val="20"/>
        </w:rPr>
      </w:pPr>
      <w:r>
        <w:rPr>
          <w:sz w:val="22"/>
          <w:szCs w:val="20"/>
        </w:rPr>
        <w:t>t</w:t>
      </w:r>
      <w:r w:rsidR="00B06C74" w:rsidRPr="00784CE3">
        <w:rPr>
          <w:sz w:val="22"/>
          <w:szCs w:val="20"/>
        </w:rPr>
        <w:t xml:space="preserve">he market share </w:t>
      </w:r>
      <w:r w:rsidR="00631C33" w:rsidRPr="00784CE3">
        <w:rPr>
          <w:sz w:val="22"/>
          <w:szCs w:val="20"/>
        </w:rPr>
        <w:t>of the operator</w:t>
      </w:r>
      <w:r w:rsidR="00D64A59">
        <w:rPr>
          <w:sz w:val="22"/>
          <w:szCs w:val="20"/>
        </w:rPr>
        <w:t>.</w:t>
      </w:r>
    </w:p>
    <w:p w14:paraId="764C945B" w14:textId="77777777" w:rsidR="001A3D00" w:rsidRDefault="001A3D00" w:rsidP="001A3D00">
      <w:pPr>
        <w:pStyle w:val="ListParagraph"/>
        <w:ind w:left="1800"/>
        <w:rPr>
          <w:sz w:val="22"/>
          <w:szCs w:val="20"/>
        </w:rPr>
      </w:pPr>
    </w:p>
    <w:p w14:paraId="36516A91" w14:textId="55709A25" w:rsidR="00F27B7A" w:rsidRDefault="00ED69DA" w:rsidP="0036125A">
      <w:pPr>
        <w:pStyle w:val="ListParagraph"/>
        <w:numPr>
          <w:ilvl w:val="0"/>
          <w:numId w:val="4"/>
        </w:numPr>
      </w:pPr>
      <w:r w:rsidRPr="00F15AD6">
        <w:rPr>
          <w:sz w:val="22"/>
          <w:szCs w:val="20"/>
        </w:rPr>
        <w:t xml:space="preserve">Within the current </w:t>
      </w:r>
      <w:r w:rsidR="003E5076" w:rsidRPr="00F15AD6">
        <w:rPr>
          <w:sz w:val="22"/>
          <w:szCs w:val="20"/>
        </w:rPr>
        <w:t>Investigatory Powers (Technical Capability) Regulations 2018</w:t>
      </w:r>
      <w:r w:rsidR="00706CB5" w:rsidRPr="00F15AD6">
        <w:rPr>
          <w:sz w:val="22"/>
          <w:szCs w:val="20"/>
        </w:rPr>
        <w:t xml:space="preserve">, </w:t>
      </w:r>
      <w:r w:rsidR="00F21899">
        <w:rPr>
          <w:sz w:val="22"/>
          <w:szCs w:val="20"/>
        </w:rPr>
        <w:t xml:space="preserve">reg. </w:t>
      </w:r>
      <w:r w:rsidR="00F15AD6">
        <w:rPr>
          <w:sz w:val="22"/>
          <w:szCs w:val="20"/>
        </w:rPr>
        <w:t>4</w:t>
      </w:r>
      <w:r w:rsidR="006E63E0">
        <w:rPr>
          <w:sz w:val="22"/>
          <w:szCs w:val="20"/>
        </w:rPr>
        <w:t>(3)</w:t>
      </w:r>
      <w:r w:rsidR="00125DCC">
        <w:rPr>
          <w:sz w:val="22"/>
          <w:szCs w:val="20"/>
        </w:rPr>
        <w:t xml:space="preserve"> </w:t>
      </w:r>
      <w:r w:rsidR="00BD5375">
        <w:rPr>
          <w:sz w:val="22"/>
          <w:szCs w:val="20"/>
        </w:rPr>
        <w:t>specifies</w:t>
      </w:r>
      <w:r w:rsidR="00D472C8">
        <w:rPr>
          <w:sz w:val="22"/>
          <w:szCs w:val="20"/>
        </w:rPr>
        <w:t xml:space="preserve"> that </w:t>
      </w:r>
      <w:r w:rsidR="001D36C4">
        <w:rPr>
          <w:sz w:val="22"/>
          <w:szCs w:val="20"/>
        </w:rPr>
        <w:t xml:space="preserve">the obligations </w:t>
      </w:r>
      <w:r w:rsidR="00EA6E86">
        <w:rPr>
          <w:sz w:val="22"/>
          <w:szCs w:val="20"/>
        </w:rPr>
        <w:t xml:space="preserve">specified in </w:t>
      </w:r>
      <w:r w:rsidR="00DB01DD" w:rsidRPr="00EB0134">
        <w:rPr>
          <w:sz w:val="22"/>
          <w:shd w:val="clear" w:color="auto" w:fill="FFFFFF"/>
        </w:rPr>
        <w:t>Part 1 of Schedule 1 and in Schedule 3</w:t>
      </w:r>
      <w:r w:rsidR="00D472C8">
        <w:rPr>
          <w:sz w:val="22"/>
          <w:szCs w:val="20"/>
        </w:rPr>
        <w:t xml:space="preserve"> cannot be </w:t>
      </w:r>
      <w:r w:rsidR="00DB01DD">
        <w:rPr>
          <w:sz w:val="22"/>
          <w:szCs w:val="20"/>
        </w:rPr>
        <w:t>imposed on</w:t>
      </w:r>
      <w:r w:rsidR="00D472C8">
        <w:rPr>
          <w:sz w:val="22"/>
          <w:szCs w:val="20"/>
        </w:rPr>
        <w:t xml:space="preserve"> an operator </w:t>
      </w:r>
      <w:r w:rsidR="00B163F7">
        <w:rPr>
          <w:sz w:val="22"/>
          <w:szCs w:val="20"/>
        </w:rPr>
        <w:t>who does not provide, or does not intend to provide a</w:t>
      </w:r>
      <w:r w:rsidR="00B90EB9">
        <w:rPr>
          <w:sz w:val="22"/>
          <w:szCs w:val="20"/>
        </w:rPr>
        <w:t xml:space="preserve"> telecommunications service </w:t>
      </w:r>
      <w:r w:rsidR="00A367B2">
        <w:rPr>
          <w:sz w:val="22"/>
          <w:szCs w:val="20"/>
        </w:rPr>
        <w:t>to more than 10,000 persons</w:t>
      </w:r>
      <w:r w:rsidR="00A367B2" w:rsidRPr="00A367B2">
        <w:t>.</w:t>
      </w:r>
      <w:r w:rsidR="0053374B">
        <w:t xml:space="preserve"> </w:t>
      </w:r>
      <w:r w:rsidR="00DC7B85">
        <w:rPr>
          <w:sz w:val="22"/>
          <w:szCs w:val="20"/>
        </w:rPr>
        <w:t xml:space="preserve">Applying </w:t>
      </w:r>
      <w:r w:rsidR="004815EC">
        <w:rPr>
          <w:sz w:val="22"/>
          <w:szCs w:val="20"/>
        </w:rPr>
        <w:t xml:space="preserve">this threshold </w:t>
      </w:r>
      <w:r w:rsidR="000D2BE6">
        <w:rPr>
          <w:sz w:val="22"/>
          <w:szCs w:val="20"/>
        </w:rPr>
        <w:t xml:space="preserve">to the notification notice would be appropriate to </w:t>
      </w:r>
      <w:r w:rsidR="002F3B5F" w:rsidRPr="0036125A">
        <w:rPr>
          <w:sz w:val="22"/>
          <w:szCs w:val="20"/>
        </w:rPr>
        <w:t xml:space="preserve">ensure </w:t>
      </w:r>
      <w:r w:rsidR="0036125A">
        <w:rPr>
          <w:sz w:val="22"/>
          <w:szCs w:val="20"/>
        </w:rPr>
        <w:t xml:space="preserve">the same high bar is </w:t>
      </w:r>
      <w:r w:rsidR="00D47184">
        <w:rPr>
          <w:sz w:val="22"/>
          <w:szCs w:val="20"/>
        </w:rPr>
        <w:t>applied</w:t>
      </w:r>
      <w:r w:rsidR="00F91F7D">
        <w:rPr>
          <w:sz w:val="22"/>
          <w:szCs w:val="20"/>
        </w:rPr>
        <w:t>, ensuring the</w:t>
      </w:r>
      <w:r w:rsidR="00FB0371" w:rsidRPr="0036125A">
        <w:rPr>
          <w:sz w:val="22"/>
          <w:szCs w:val="20"/>
        </w:rPr>
        <w:t xml:space="preserve"> obligation does not </w:t>
      </w:r>
      <w:r w:rsidR="008037BA" w:rsidRPr="0036125A">
        <w:rPr>
          <w:sz w:val="22"/>
          <w:szCs w:val="20"/>
        </w:rPr>
        <w:t xml:space="preserve">disproportionality affect </w:t>
      </w:r>
      <w:r w:rsidR="00545ED5" w:rsidRPr="0036125A">
        <w:rPr>
          <w:sz w:val="22"/>
          <w:szCs w:val="20"/>
        </w:rPr>
        <w:t>all operators</w:t>
      </w:r>
      <w:r w:rsidR="00C66056">
        <w:rPr>
          <w:sz w:val="22"/>
          <w:szCs w:val="20"/>
        </w:rPr>
        <w:t>.</w:t>
      </w:r>
    </w:p>
    <w:p w14:paraId="21B6C833" w14:textId="77777777" w:rsidR="00F15AD6" w:rsidRDefault="00F15AD6" w:rsidP="00F15AD6">
      <w:pPr>
        <w:pStyle w:val="ListParagraph"/>
      </w:pPr>
    </w:p>
    <w:p w14:paraId="3455503E" w14:textId="58C1C7CC" w:rsidR="007837A7" w:rsidRPr="006C55EB" w:rsidRDefault="00DD6963" w:rsidP="00F27B7A">
      <w:pPr>
        <w:pStyle w:val="ListParagraph"/>
        <w:numPr>
          <w:ilvl w:val="0"/>
          <w:numId w:val="4"/>
        </w:numPr>
        <w:rPr>
          <w:sz w:val="22"/>
          <w:szCs w:val="20"/>
        </w:rPr>
      </w:pPr>
      <w:r w:rsidRPr="006C55EB">
        <w:rPr>
          <w:sz w:val="22"/>
          <w:szCs w:val="20"/>
        </w:rPr>
        <w:t xml:space="preserve">Assessments will be conducted on a </w:t>
      </w:r>
      <w:r w:rsidR="006C55EB" w:rsidRPr="006C55EB">
        <w:rPr>
          <w:sz w:val="22"/>
          <w:szCs w:val="20"/>
        </w:rPr>
        <w:t>case-by-case</w:t>
      </w:r>
      <w:r w:rsidRPr="006C55EB">
        <w:rPr>
          <w:sz w:val="22"/>
          <w:szCs w:val="20"/>
        </w:rPr>
        <w:t xml:space="preserve"> </w:t>
      </w:r>
      <w:r w:rsidR="006C55EB" w:rsidRPr="006C55EB">
        <w:rPr>
          <w:sz w:val="22"/>
          <w:szCs w:val="20"/>
        </w:rPr>
        <w:t>basis</w:t>
      </w:r>
      <w:r w:rsidR="002856A5">
        <w:rPr>
          <w:sz w:val="22"/>
          <w:szCs w:val="20"/>
        </w:rPr>
        <w:t xml:space="preserve">, </w:t>
      </w:r>
      <w:r w:rsidR="007C54CB">
        <w:rPr>
          <w:sz w:val="22"/>
          <w:szCs w:val="20"/>
        </w:rPr>
        <w:t xml:space="preserve">a notification notice will only be issued </w:t>
      </w:r>
      <w:r w:rsidR="00376750">
        <w:rPr>
          <w:sz w:val="22"/>
          <w:szCs w:val="20"/>
        </w:rPr>
        <w:t xml:space="preserve">to an operator </w:t>
      </w:r>
      <w:r w:rsidR="00E140EF">
        <w:rPr>
          <w:sz w:val="22"/>
          <w:szCs w:val="20"/>
        </w:rPr>
        <w:t xml:space="preserve">by the Secretary of State </w:t>
      </w:r>
      <w:r w:rsidR="00211AEE">
        <w:rPr>
          <w:sz w:val="22"/>
          <w:szCs w:val="20"/>
        </w:rPr>
        <w:t xml:space="preserve">if it is deemed necessary and proportionate </w:t>
      </w:r>
      <w:r w:rsidR="00376750">
        <w:rPr>
          <w:sz w:val="22"/>
          <w:szCs w:val="20"/>
        </w:rPr>
        <w:t>to</w:t>
      </w:r>
      <w:r w:rsidR="00211AEE">
        <w:rPr>
          <w:sz w:val="22"/>
          <w:szCs w:val="20"/>
        </w:rPr>
        <w:t xml:space="preserve"> safeguard </w:t>
      </w:r>
      <w:r w:rsidR="00D07CBE">
        <w:rPr>
          <w:sz w:val="22"/>
          <w:szCs w:val="20"/>
        </w:rPr>
        <w:t xml:space="preserve">lawful access. </w:t>
      </w:r>
    </w:p>
    <w:p w14:paraId="5D259872" w14:textId="77777777" w:rsidR="00F27B7A" w:rsidRDefault="00F27B7A" w:rsidP="007837A7">
      <w:pPr>
        <w:pStyle w:val="ListParagraph"/>
      </w:pPr>
    </w:p>
    <w:p w14:paraId="6DFA54E8" w14:textId="77777777" w:rsidR="00827429" w:rsidRDefault="00827429" w:rsidP="007837A7">
      <w:pPr>
        <w:pStyle w:val="ListParagraph"/>
      </w:pPr>
    </w:p>
    <w:p w14:paraId="6E4D5C07" w14:textId="45A13503" w:rsidR="0053361F" w:rsidRDefault="00000C8D" w:rsidP="007E47FE">
      <w:pPr>
        <w:pStyle w:val="ListParagraph"/>
        <w:ind w:left="0"/>
        <w:rPr>
          <w:b/>
          <w:bCs/>
          <w:sz w:val="22"/>
          <w:szCs w:val="20"/>
        </w:rPr>
      </w:pPr>
      <w:r w:rsidRPr="00827429">
        <w:rPr>
          <w:b/>
          <w:bCs/>
          <w:sz w:val="22"/>
          <w:szCs w:val="20"/>
        </w:rPr>
        <w:t>Relevant changes operators</w:t>
      </w:r>
      <w:r w:rsidR="00827429" w:rsidRPr="00827429">
        <w:rPr>
          <w:b/>
          <w:bCs/>
          <w:sz w:val="22"/>
          <w:szCs w:val="20"/>
        </w:rPr>
        <w:t xml:space="preserve"> are required to notify the Secretary of State</w:t>
      </w:r>
      <w:r w:rsidRPr="00827429">
        <w:rPr>
          <w:b/>
          <w:bCs/>
          <w:sz w:val="22"/>
          <w:szCs w:val="20"/>
        </w:rPr>
        <w:t xml:space="preserve"> </w:t>
      </w:r>
    </w:p>
    <w:p w14:paraId="50B79350" w14:textId="7B5B6132" w:rsidR="007E47FE" w:rsidRPr="00376750" w:rsidRDefault="007E47FE" w:rsidP="00376750">
      <w:pPr>
        <w:pStyle w:val="ListParagraph"/>
        <w:rPr>
          <w:b/>
          <w:bCs/>
          <w:sz w:val="22"/>
          <w:szCs w:val="20"/>
        </w:rPr>
      </w:pPr>
    </w:p>
    <w:p w14:paraId="6533EC51" w14:textId="352DA8AD" w:rsidR="00376750" w:rsidRPr="00357959" w:rsidRDefault="00723161" w:rsidP="007E47FE">
      <w:pPr>
        <w:pStyle w:val="ListParagraph"/>
        <w:numPr>
          <w:ilvl w:val="0"/>
          <w:numId w:val="4"/>
        </w:numPr>
        <w:rPr>
          <w:b/>
          <w:bCs/>
          <w:sz w:val="22"/>
          <w:szCs w:val="20"/>
        </w:rPr>
      </w:pPr>
      <w:r>
        <w:rPr>
          <w:sz w:val="22"/>
          <w:szCs w:val="20"/>
        </w:rPr>
        <w:t xml:space="preserve">When an operator is </w:t>
      </w:r>
      <w:r w:rsidR="0057666F">
        <w:rPr>
          <w:sz w:val="22"/>
          <w:szCs w:val="20"/>
        </w:rPr>
        <w:t xml:space="preserve">issued a notification notice they will be required to </w:t>
      </w:r>
      <w:r w:rsidR="0056551E">
        <w:rPr>
          <w:sz w:val="22"/>
          <w:szCs w:val="20"/>
        </w:rPr>
        <w:t xml:space="preserve">notify the Secretary of State </w:t>
      </w:r>
      <w:r w:rsidR="00C33C49">
        <w:rPr>
          <w:sz w:val="22"/>
          <w:szCs w:val="20"/>
        </w:rPr>
        <w:t xml:space="preserve">of </w:t>
      </w:r>
      <w:r w:rsidR="00357959">
        <w:rPr>
          <w:sz w:val="22"/>
          <w:szCs w:val="20"/>
        </w:rPr>
        <w:t xml:space="preserve">proposed </w:t>
      </w:r>
      <w:r w:rsidR="00C33C49">
        <w:rPr>
          <w:sz w:val="22"/>
          <w:szCs w:val="20"/>
        </w:rPr>
        <w:t xml:space="preserve">relevant changes to services </w:t>
      </w:r>
      <w:r w:rsidR="00EF10F4">
        <w:rPr>
          <w:sz w:val="22"/>
          <w:szCs w:val="20"/>
        </w:rPr>
        <w:t xml:space="preserve">and systems </w:t>
      </w:r>
      <w:r w:rsidR="00C33C49">
        <w:rPr>
          <w:sz w:val="22"/>
          <w:szCs w:val="20"/>
        </w:rPr>
        <w:t xml:space="preserve">specified </w:t>
      </w:r>
      <w:r w:rsidR="00C33C49">
        <w:rPr>
          <w:sz w:val="22"/>
          <w:szCs w:val="20"/>
        </w:rPr>
        <w:lastRenderedPageBreak/>
        <w:t>within the individualised specification</w:t>
      </w:r>
      <w:r w:rsidR="00F84A4E">
        <w:rPr>
          <w:sz w:val="22"/>
          <w:szCs w:val="20"/>
        </w:rPr>
        <w:t xml:space="preserve"> that has been drawn up in consultation with the operator. </w:t>
      </w:r>
    </w:p>
    <w:p w14:paraId="46535149" w14:textId="77777777" w:rsidR="00357959" w:rsidRPr="00F84A4E" w:rsidRDefault="00357959" w:rsidP="00357959">
      <w:pPr>
        <w:pStyle w:val="ListParagraph"/>
        <w:rPr>
          <w:b/>
          <w:bCs/>
          <w:sz w:val="22"/>
          <w:szCs w:val="20"/>
        </w:rPr>
      </w:pPr>
    </w:p>
    <w:p w14:paraId="0D79FCF6" w14:textId="3DA3984B" w:rsidR="00F84A4E" w:rsidRDefault="00357959" w:rsidP="00F84A4E">
      <w:pPr>
        <w:pStyle w:val="ListParagraph"/>
        <w:numPr>
          <w:ilvl w:val="0"/>
          <w:numId w:val="4"/>
        </w:numPr>
        <w:rPr>
          <w:sz w:val="22"/>
          <w:szCs w:val="20"/>
        </w:rPr>
      </w:pPr>
      <w:r w:rsidRPr="00357959">
        <w:rPr>
          <w:sz w:val="22"/>
          <w:szCs w:val="20"/>
        </w:rPr>
        <w:t>A relevant change is a</w:t>
      </w:r>
      <w:r w:rsidR="00616872">
        <w:rPr>
          <w:sz w:val="22"/>
          <w:szCs w:val="20"/>
        </w:rPr>
        <w:t xml:space="preserve"> change to a telecommunications service or system that </w:t>
      </w:r>
      <w:r w:rsidR="006C6503">
        <w:rPr>
          <w:sz w:val="22"/>
          <w:szCs w:val="20"/>
        </w:rPr>
        <w:t xml:space="preserve">would negatively affect </w:t>
      </w:r>
      <w:r w:rsidR="00497DB5">
        <w:rPr>
          <w:sz w:val="22"/>
          <w:szCs w:val="20"/>
        </w:rPr>
        <w:t xml:space="preserve">lawful access provided by the operator on that service or system. </w:t>
      </w:r>
    </w:p>
    <w:p w14:paraId="52281606" w14:textId="77777777" w:rsidR="00FC67CB" w:rsidRPr="00FC67CB" w:rsidRDefault="00FC67CB" w:rsidP="00FC67CB">
      <w:pPr>
        <w:pStyle w:val="ListParagraph"/>
        <w:rPr>
          <w:sz w:val="22"/>
          <w:szCs w:val="20"/>
        </w:rPr>
      </w:pPr>
    </w:p>
    <w:p w14:paraId="03F46735" w14:textId="12F570AB" w:rsidR="00FC67CB" w:rsidRDefault="00836DE7" w:rsidP="00F84A4E">
      <w:pPr>
        <w:pStyle w:val="ListParagraph"/>
        <w:numPr>
          <w:ilvl w:val="0"/>
          <w:numId w:val="4"/>
        </w:numPr>
        <w:rPr>
          <w:sz w:val="22"/>
          <w:szCs w:val="20"/>
        </w:rPr>
      </w:pPr>
      <w:r>
        <w:rPr>
          <w:sz w:val="22"/>
          <w:szCs w:val="20"/>
        </w:rPr>
        <w:t>A relevant change includes:</w:t>
      </w:r>
    </w:p>
    <w:p w14:paraId="6A4A2FE7" w14:textId="77777777" w:rsidR="00836DE7" w:rsidRPr="00836DE7" w:rsidRDefault="00836DE7" w:rsidP="00836DE7">
      <w:pPr>
        <w:pStyle w:val="ListParagraph"/>
        <w:rPr>
          <w:sz w:val="22"/>
          <w:szCs w:val="20"/>
        </w:rPr>
      </w:pPr>
    </w:p>
    <w:p w14:paraId="4F50D00C" w14:textId="219F2C74" w:rsidR="00836DE7" w:rsidRPr="0098599F" w:rsidRDefault="00743956" w:rsidP="005355D5">
      <w:pPr>
        <w:pStyle w:val="ListParagraph"/>
        <w:numPr>
          <w:ilvl w:val="0"/>
          <w:numId w:val="12"/>
        </w:numPr>
        <w:rPr>
          <w:b/>
          <w:bCs/>
          <w:sz w:val="22"/>
          <w:szCs w:val="20"/>
        </w:rPr>
      </w:pPr>
      <w:r w:rsidRPr="0098599F">
        <w:rPr>
          <w:b/>
          <w:bCs/>
          <w:sz w:val="22"/>
          <w:szCs w:val="20"/>
        </w:rPr>
        <w:t>Changes to data retention periods</w:t>
      </w:r>
      <w:r w:rsidR="00582148" w:rsidRPr="0098599F">
        <w:rPr>
          <w:b/>
          <w:bCs/>
          <w:sz w:val="22"/>
          <w:szCs w:val="20"/>
        </w:rPr>
        <w:t xml:space="preserve"> by the operator</w:t>
      </w:r>
      <w:r w:rsidR="00E83418" w:rsidRPr="0098599F">
        <w:rPr>
          <w:b/>
          <w:bCs/>
          <w:sz w:val="22"/>
          <w:szCs w:val="20"/>
        </w:rPr>
        <w:t>.</w:t>
      </w:r>
    </w:p>
    <w:p w14:paraId="53C656E5" w14:textId="06BB23C5" w:rsidR="00E83418" w:rsidRDefault="00E83418" w:rsidP="00E83418">
      <w:pPr>
        <w:pStyle w:val="ListParagraph"/>
        <w:ind w:left="1440"/>
        <w:rPr>
          <w:sz w:val="22"/>
          <w:szCs w:val="20"/>
        </w:rPr>
      </w:pPr>
      <w:r>
        <w:rPr>
          <w:sz w:val="22"/>
          <w:szCs w:val="20"/>
        </w:rPr>
        <w:t xml:space="preserve">An operator will retain data </w:t>
      </w:r>
      <w:r w:rsidR="000377CB">
        <w:rPr>
          <w:sz w:val="22"/>
          <w:szCs w:val="20"/>
        </w:rPr>
        <w:t>for as long as business requirement dictates</w:t>
      </w:r>
      <w:r w:rsidR="00EC1D82">
        <w:rPr>
          <w:sz w:val="22"/>
          <w:szCs w:val="20"/>
        </w:rPr>
        <w:t>. An operator may change their data retention periods at any point</w:t>
      </w:r>
      <w:r w:rsidR="00854168">
        <w:rPr>
          <w:sz w:val="22"/>
          <w:szCs w:val="20"/>
        </w:rPr>
        <w:t>.</w:t>
      </w:r>
    </w:p>
    <w:p w14:paraId="22340FE5" w14:textId="36263B56" w:rsidR="00854168" w:rsidRPr="0098599F" w:rsidRDefault="00F5734C" w:rsidP="00467EA5">
      <w:pPr>
        <w:pStyle w:val="ListParagraph"/>
        <w:numPr>
          <w:ilvl w:val="0"/>
          <w:numId w:val="12"/>
        </w:numPr>
        <w:rPr>
          <w:b/>
          <w:bCs/>
          <w:sz w:val="22"/>
          <w:szCs w:val="20"/>
        </w:rPr>
      </w:pPr>
      <w:r w:rsidRPr="0098599F">
        <w:rPr>
          <w:b/>
          <w:bCs/>
          <w:sz w:val="22"/>
          <w:szCs w:val="20"/>
        </w:rPr>
        <w:t xml:space="preserve">Changes in the </w:t>
      </w:r>
      <w:r w:rsidR="006807E7" w:rsidRPr="0098599F">
        <w:rPr>
          <w:b/>
          <w:bCs/>
          <w:sz w:val="22"/>
          <w:szCs w:val="20"/>
        </w:rPr>
        <w:t>operator’s</w:t>
      </w:r>
      <w:r w:rsidRPr="0098599F">
        <w:rPr>
          <w:b/>
          <w:bCs/>
          <w:sz w:val="22"/>
          <w:szCs w:val="20"/>
        </w:rPr>
        <w:t xml:space="preserve"> a</w:t>
      </w:r>
      <w:r w:rsidR="00467EA5" w:rsidRPr="0098599F">
        <w:rPr>
          <w:b/>
          <w:bCs/>
          <w:sz w:val="22"/>
          <w:szCs w:val="20"/>
        </w:rPr>
        <w:t xml:space="preserve">bility to </w:t>
      </w:r>
      <w:r w:rsidR="006807E7" w:rsidRPr="0098599F">
        <w:rPr>
          <w:b/>
          <w:bCs/>
          <w:sz w:val="22"/>
          <w:szCs w:val="20"/>
        </w:rPr>
        <w:t xml:space="preserve">lawfully provide </w:t>
      </w:r>
      <w:r w:rsidR="00A3740A" w:rsidRPr="0098599F">
        <w:rPr>
          <w:b/>
          <w:bCs/>
          <w:sz w:val="22"/>
          <w:szCs w:val="20"/>
        </w:rPr>
        <w:t>communications data</w:t>
      </w:r>
      <w:r w:rsidR="00854168" w:rsidRPr="0098599F">
        <w:rPr>
          <w:b/>
          <w:bCs/>
          <w:sz w:val="22"/>
          <w:szCs w:val="20"/>
        </w:rPr>
        <w:t>.</w:t>
      </w:r>
    </w:p>
    <w:p w14:paraId="5CD1F3E3" w14:textId="1129EB7E" w:rsidR="00467EA5" w:rsidRDefault="00854168" w:rsidP="00854168">
      <w:pPr>
        <w:pStyle w:val="ListParagraph"/>
        <w:ind w:left="1440"/>
        <w:rPr>
          <w:sz w:val="22"/>
          <w:szCs w:val="20"/>
        </w:rPr>
      </w:pPr>
      <w:r>
        <w:rPr>
          <w:sz w:val="22"/>
          <w:szCs w:val="20"/>
        </w:rPr>
        <w:t>Communications data</w:t>
      </w:r>
      <w:r w:rsidR="00DC7F17">
        <w:rPr>
          <w:sz w:val="22"/>
          <w:szCs w:val="20"/>
        </w:rPr>
        <w:t xml:space="preserve"> is the ‘who’, ‘when’, ‘where’ and ‘how’</w:t>
      </w:r>
      <w:r w:rsidR="00EC1D82">
        <w:rPr>
          <w:sz w:val="22"/>
          <w:szCs w:val="20"/>
        </w:rPr>
        <w:t>, otherwise known as the metadata.</w:t>
      </w:r>
    </w:p>
    <w:p w14:paraId="68385FDC" w14:textId="3BB083AD" w:rsidR="00854168" w:rsidRPr="0098599F" w:rsidRDefault="00F5734C" w:rsidP="00854168">
      <w:pPr>
        <w:pStyle w:val="ListParagraph"/>
        <w:numPr>
          <w:ilvl w:val="0"/>
          <w:numId w:val="12"/>
        </w:numPr>
        <w:rPr>
          <w:b/>
          <w:bCs/>
          <w:sz w:val="22"/>
          <w:szCs w:val="20"/>
        </w:rPr>
      </w:pPr>
      <w:r w:rsidRPr="0098599F">
        <w:rPr>
          <w:b/>
          <w:bCs/>
          <w:sz w:val="22"/>
          <w:szCs w:val="20"/>
        </w:rPr>
        <w:t xml:space="preserve">Changes in the </w:t>
      </w:r>
      <w:r w:rsidR="006807E7" w:rsidRPr="0098599F">
        <w:rPr>
          <w:b/>
          <w:bCs/>
          <w:sz w:val="22"/>
          <w:szCs w:val="20"/>
        </w:rPr>
        <w:t>operator’s</w:t>
      </w:r>
      <w:r w:rsidRPr="0098599F">
        <w:rPr>
          <w:b/>
          <w:bCs/>
          <w:sz w:val="22"/>
          <w:szCs w:val="20"/>
        </w:rPr>
        <w:t xml:space="preserve"> ability </w:t>
      </w:r>
      <w:r w:rsidR="00854168" w:rsidRPr="0098599F">
        <w:rPr>
          <w:b/>
          <w:bCs/>
          <w:sz w:val="22"/>
          <w:szCs w:val="20"/>
        </w:rPr>
        <w:t xml:space="preserve">to </w:t>
      </w:r>
      <w:r w:rsidRPr="0098599F">
        <w:rPr>
          <w:b/>
          <w:bCs/>
          <w:sz w:val="22"/>
          <w:szCs w:val="20"/>
        </w:rPr>
        <w:t>lawfully provide</w:t>
      </w:r>
      <w:r w:rsidR="00854168" w:rsidRPr="0098599F">
        <w:rPr>
          <w:b/>
          <w:bCs/>
          <w:sz w:val="22"/>
          <w:szCs w:val="20"/>
        </w:rPr>
        <w:t xml:space="preserve"> </w:t>
      </w:r>
      <w:r w:rsidR="003F372B">
        <w:rPr>
          <w:b/>
          <w:bCs/>
          <w:sz w:val="22"/>
          <w:szCs w:val="20"/>
        </w:rPr>
        <w:t xml:space="preserve">the </w:t>
      </w:r>
      <w:r w:rsidRPr="0098599F">
        <w:rPr>
          <w:b/>
          <w:bCs/>
          <w:sz w:val="22"/>
          <w:szCs w:val="20"/>
        </w:rPr>
        <w:t>conte</w:t>
      </w:r>
      <w:r w:rsidR="00B3227F" w:rsidRPr="0098599F">
        <w:rPr>
          <w:b/>
          <w:bCs/>
          <w:sz w:val="22"/>
          <w:szCs w:val="20"/>
        </w:rPr>
        <w:t>nt of communications.</w:t>
      </w:r>
    </w:p>
    <w:p w14:paraId="19E63B61" w14:textId="6E95DCAA" w:rsidR="0054699A" w:rsidRDefault="00582148" w:rsidP="0054699A">
      <w:pPr>
        <w:pStyle w:val="ListParagraph"/>
        <w:ind w:left="1440"/>
        <w:rPr>
          <w:sz w:val="22"/>
          <w:szCs w:val="20"/>
        </w:rPr>
      </w:pPr>
      <w:r>
        <w:rPr>
          <w:sz w:val="22"/>
          <w:szCs w:val="20"/>
        </w:rPr>
        <w:t>Content</w:t>
      </w:r>
      <w:r w:rsidR="00C1755F">
        <w:rPr>
          <w:sz w:val="22"/>
          <w:szCs w:val="20"/>
        </w:rPr>
        <w:t xml:space="preserve"> </w:t>
      </w:r>
      <w:r w:rsidR="0054699A">
        <w:rPr>
          <w:sz w:val="22"/>
          <w:szCs w:val="20"/>
        </w:rPr>
        <w:t xml:space="preserve">differs from communication data as crucially it is the ‘what’. </w:t>
      </w:r>
    </w:p>
    <w:p w14:paraId="4599C9C2" w14:textId="438051D8" w:rsidR="0054699A" w:rsidRPr="0098599F" w:rsidRDefault="00A76E43" w:rsidP="0054699A">
      <w:pPr>
        <w:pStyle w:val="ListParagraph"/>
        <w:numPr>
          <w:ilvl w:val="0"/>
          <w:numId w:val="12"/>
        </w:numPr>
        <w:rPr>
          <w:b/>
          <w:bCs/>
          <w:sz w:val="22"/>
          <w:szCs w:val="20"/>
        </w:rPr>
      </w:pPr>
      <w:r w:rsidRPr="0098599F">
        <w:rPr>
          <w:b/>
          <w:bCs/>
          <w:sz w:val="22"/>
          <w:szCs w:val="20"/>
        </w:rPr>
        <w:t>Decommissioning of a service.</w:t>
      </w:r>
    </w:p>
    <w:p w14:paraId="69E65862" w14:textId="45DBF941" w:rsidR="00E90E8C" w:rsidRPr="00364C85" w:rsidRDefault="0014144E" w:rsidP="00364C85">
      <w:pPr>
        <w:pStyle w:val="ListParagraph"/>
        <w:ind w:left="1440"/>
        <w:rPr>
          <w:sz w:val="22"/>
          <w:szCs w:val="20"/>
        </w:rPr>
      </w:pPr>
      <w:r>
        <w:rPr>
          <w:sz w:val="22"/>
          <w:szCs w:val="20"/>
        </w:rPr>
        <w:t xml:space="preserve">The decommissioning of a service may require the Secretary of State to vary </w:t>
      </w:r>
      <w:r w:rsidR="001D7402">
        <w:rPr>
          <w:sz w:val="22"/>
          <w:szCs w:val="20"/>
        </w:rPr>
        <w:t xml:space="preserve">the notification notice. </w:t>
      </w:r>
      <w:r w:rsidR="00E90E8C" w:rsidRPr="00364C85">
        <w:rPr>
          <w:b/>
          <w:bCs/>
          <w:sz w:val="22"/>
          <w:szCs w:val="20"/>
        </w:rPr>
        <w:t xml:space="preserve"> </w:t>
      </w:r>
    </w:p>
    <w:p w14:paraId="5578AAC3" w14:textId="231C6409" w:rsidR="00E33EFD" w:rsidRDefault="00891A20" w:rsidP="0098599F">
      <w:pPr>
        <w:pStyle w:val="ListParagraph"/>
        <w:numPr>
          <w:ilvl w:val="0"/>
          <w:numId w:val="12"/>
        </w:numPr>
        <w:rPr>
          <w:sz w:val="22"/>
          <w:szCs w:val="20"/>
        </w:rPr>
      </w:pPr>
      <w:r>
        <w:rPr>
          <w:b/>
          <w:bCs/>
          <w:sz w:val="22"/>
          <w:szCs w:val="20"/>
        </w:rPr>
        <w:t>O</w:t>
      </w:r>
      <w:r w:rsidR="00E33EFD" w:rsidRPr="0098599F">
        <w:rPr>
          <w:b/>
          <w:bCs/>
          <w:sz w:val="22"/>
          <w:szCs w:val="20"/>
        </w:rPr>
        <w:t xml:space="preserve">ther relevant change </w:t>
      </w:r>
      <w:r w:rsidR="00DF03A2" w:rsidRPr="0098599F">
        <w:rPr>
          <w:b/>
          <w:bCs/>
          <w:sz w:val="22"/>
          <w:szCs w:val="20"/>
        </w:rPr>
        <w:t>specified in the notification requirement</w:t>
      </w:r>
      <w:r w:rsidR="00DF03A2">
        <w:rPr>
          <w:sz w:val="22"/>
          <w:szCs w:val="20"/>
        </w:rPr>
        <w:t>. Operators provide unique and individual services</w:t>
      </w:r>
      <w:r w:rsidR="008F0DC8">
        <w:rPr>
          <w:sz w:val="22"/>
          <w:szCs w:val="20"/>
        </w:rPr>
        <w:t xml:space="preserve"> and may</w:t>
      </w:r>
      <w:r w:rsidR="00DF03A2">
        <w:rPr>
          <w:sz w:val="22"/>
          <w:szCs w:val="20"/>
        </w:rPr>
        <w:t xml:space="preserve"> provide </w:t>
      </w:r>
      <w:r w:rsidR="0077450C">
        <w:rPr>
          <w:sz w:val="22"/>
          <w:szCs w:val="20"/>
        </w:rPr>
        <w:t xml:space="preserve">specific lawful access capabilities that will be known between the operator and </w:t>
      </w:r>
      <w:r w:rsidR="00362845">
        <w:rPr>
          <w:sz w:val="22"/>
          <w:szCs w:val="20"/>
        </w:rPr>
        <w:t xml:space="preserve">Secretary of State. For the protection of these </w:t>
      </w:r>
      <w:r w:rsidR="008F0DC8">
        <w:rPr>
          <w:sz w:val="22"/>
          <w:szCs w:val="20"/>
        </w:rPr>
        <w:t>capabilities,</w:t>
      </w:r>
      <w:r w:rsidR="00362845">
        <w:rPr>
          <w:sz w:val="22"/>
          <w:szCs w:val="20"/>
        </w:rPr>
        <w:t xml:space="preserve"> </w:t>
      </w:r>
      <w:r w:rsidR="00D33F90">
        <w:rPr>
          <w:sz w:val="22"/>
          <w:szCs w:val="20"/>
        </w:rPr>
        <w:t xml:space="preserve">it will be included in the confidential specification agreed between the operator and Secretary of State. </w:t>
      </w:r>
    </w:p>
    <w:p w14:paraId="369C38D7" w14:textId="77777777" w:rsidR="00F81E6F" w:rsidRDefault="00F81E6F" w:rsidP="00F81E6F">
      <w:pPr>
        <w:pStyle w:val="ListParagraph"/>
        <w:ind w:left="1440"/>
        <w:rPr>
          <w:sz w:val="22"/>
          <w:szCs w:val="20"/>
        </w:rPr>
      </w:pPr>
    </w:p>
    <w:p w14:paraId="74F6FB55" w14:textId="58037AF1" w:rsidR="00392BF1" w:rsidRDefault="00CC263B" w:rsidP="006B7E15">
      <w:pPr>
        <w:pStyle w:val="ListParagraph"/>
        <w:numPr>
          <w:ilvl w:val="0"/>
          <w:numId w:val="4"/>
        </w:numPr>
        <w:rPr>
          <w:sz w:val="22"/>
          <w:szCs w:val="20"/>
        </w:rPr>
      </w:pPr>
      <w:r>
        <w:rPr>
          <w:sz w:val="22"/>
          <w:szCs w:val="20"/>
        </w:rPr>
        <w:t xml:space="preserve">As previously noted, there will then be an individualised and confidential </w:t>
      </w:r>
      <w:r w:rsidR="00B07274">
        <w:rPr>
          <w:sz w:val="22"/>
          <w:szCs w:val="20"/>
        </w:rPr>
        <w:t>specification</w:t>
      </w:r>
      <w:r w:rsidR="00A65123">
        <w:rPr>
          <w:sz w:val="22"/>
          <w:szCs w:val="20"/>
        </w:rPr>
        <w:t xml:space="preserve"> agreed between the operator and the Secretary of State</w:t>
      </w:r>
      <w:r w:rsidR="005F5692">
        <w:rPr>
          <w:sz w:val="22"/>
          <w:szCs w:val="20"/>
        </w:rPr>
        <w:t xml:space="preserve">. </w:t>
      </w:r>
      <w:r w:rsidR="00257780">
        <w:rPr>
          <w:sz w:val="22"/>
          <w:szCs w:val="20"/>
        </w:rPr>
        <w:t>These criteria</w:t>
      </w:r>
      <w:r w:rsidR="00A65123">
        <w:rPr>
          <w:sz w:val="22"/>
          <w:szCs w:val="20"/>
        </w:rPr>
        <w:t xml:space="preserve"> will </w:t>
      </w:r>
      <w:r w:rsidR="005F5692">
        <w:rPr>
          <w:sz w:val="22"/>
          <w:szCs w:val="20"/>
        </w:rPr>
        <w:t xml:space="preserve">only </w:t>
      </w:r>
      <w:r w:rsidR="00A65123">
        <w:rPr>
          <w:sz w:val="22"/>
          <w:szCs w:val="20"/>
        </w:rPr>
        <w:t xml:space="preserve">apply </w:t>
      </w:r>
      <w:r w:rsidR="00D559A8">
        <w:rPr>
          <w:sz w:val="22"/>
          <w:szCs w:val="20"/>
        </w:rPr>
        <w:t xml:space="preserve">to the specific </w:t>
      </w:r>
      <w:r w:rsidR="00C34A54">
        <w:rPr>
          <w:sz w:val="22"/>
          <w:szCs w:val="20"/>
        </w:rPr>
        <w:t>sy</w:t>
      </w:r>
      <w:r w:rsidR="00AD1DD4">
        <w:rPr>
          <w:sz w:val="22"/>
          <w:szCs w:val="20"/>
        </w:rPr>
        <w:t>s</w:t>
      </w:r>
      <w:r w:rsidR="00C34A54">
        <w:rPr>
          <w:sz w:val="22"/>
          <w:szCs w:val="20"/>
        </w:rPr>
        <w:t>tems</w:t>
      </w:r>
      <w:r w:rsidR="00D559A8">
        <w:rPr>
          <w:sz w:val="22"/>
          <w:szCs w:val="20"/>
        </w:rPr>
        <w:t xml:space="preserve"> and services of the operator in question</w:t>
      </w:r>
      <w:r w:rsidR="00CD739D">
        <w:rPr>
          <w:sz w:val="22"/>
          <w:szCs w:val="20"/>
        </w:rPr>
        <w:t xml:space="preserve"> </w:t>
      </w:r>
      <w:r w:rsidR="00D407AB">
        <w:rPr>
          <w:sz w:val="22"/>
          <w:szCs w:val="20"/>
        </w:rPr>
        <w:t xml:space="preserve">set out in the agreed specification. </w:t>
      </w:r>
    </w:p>
    <w:p w14:paraId="38D4063D" w14:textId="77777777" w:rsidR="00392BF1" w:rsidRDefault="00392BF1" w:rsidP="00392BF1">
      <w:pPr>
        <w:pStyle w:val="ListParagraph"/>
        <w:rPr>
          <w:sz w:val="22"/>
          <w:szCs w:val="20"/>
        </w:rPr>
      </w:pPr>
    </w:p>
    <w:p w14:paraId="668C1F9F" w14:textId="4542CF4C" w:rsidR="00C73978" w:rsidRDefault="00B77B93" w:rsidP="00392BF1">
      <w:pPr>
        <w:pStyle w:val="ListParagraph"/>
        <w:ind w:left="0"/>
        <w:rPr>
          <w:b/>
          <w:bCs/>
          <w:sz w:val="22"/>
          <w:szCs w:val="20"/>
        </w:rPr>
      </w:pPr>
      <w:r w:rsidRPr="00392BF1">
        <w:rPr>
          <w:b/>
          <w:bCs/>
          <w:sz w:val="22"/>
          <w:szCs w:val="20"/>
        </w:rPr>
        <w:t>Security patches</w:t>
      </w:r>
    </w:p>
    <w:p w14:paraId="30982515" w14:textId="77777777" w:rsidR="00C73978" w:rsidRDefault="00C73978" w:rsidP="00392BF1">
      <w:pPr>
        <w:pStyle w:val="ListParagraph"/>
        <w:ind w:left="0"/>
        <w:rPr>
          <w:b/>
          <w:bCs/>
          <w:sz w:val="22"/>
          <w:szCs w:val="20"/>
        </w:rPr>
      </w:pPr>
    </w:p>
    <w:p w14:paraId="0953B2BA" w14:textId="45712FD3" w:rsidR="005B3AF1" w:rsidRDefault="00FD197D" w:rsidP="005B3AF1">
      <w:pPr>
        <w:pStyle w:val="ListParagraph"/>
        <w:numPr>
          <w:ilvl w:val="0"/>
          <w:numId w:val="4"/>
        </w:numPr>
        <w:rPr>
          <w:sz w:val="22"/>
          <w:szCs w:val="20"/>
        </w:rPr>
      </w:pPr>
      <w:r>
        <w:rPr>
          <w:sz w:val="22"/>
          <w:szCs w:val="20"/>
        </w:rPr>
        <w:t>T</w:t>
      </w:r>
      <w:r w:rsidR="00A75EC1" w:rsidRPr="00A75EC1">
        <w:rPr>
          <w:sz w:val="22"/>
          <w:szCs w:val="20"/>
        </w:rPr>
        <w:t>here is no intention for security patches</w:t>
      </w:r>
      <w:r w:rsidR="003229DA">
        <w:rPr>
          <w:rStyle w:val="FootnoteReference"/>
          <w:sz w:val="22"/>
          <w:szCs w:val="20"/>
        </w:rPr>
        <w:footnoteReference w:id="3"/>
      </w:r>
      <w:r w:rsidR="00A75EC1" w:rsidRPr="00A75EC1">
        <w:rPr>
          <w:sz w:val="22"/>
          <w:szCs w:val="20"/>
        </w:rPr>
        <w:t> to be covered by the notification requirement and we would never stop a security patch to a system. We cannot foresee a circumstance in which a security patch would have such sweeping effect</w:t>
      </w:r>
      <w:r w:rsidR="000944A2">
        <w:rPr>
          <w:sz w:val="22"/>
          <w:szCs w:val="20"/>
        </w:rPr>
        <w:t xml:space="preserve"> on lawful access capabilities</w:t>
      </w:r>
      <w:r w:rsidR="00C73978">
        <w:rPr>
          <w:sz w:val="22"/>
          <w:szCs w:val="20"/>
        </w:rPr>
        <w:t xml:space="preserve">. </w:t>
      </w:r>
    </w:p>
    <w:p w14:paraId="0B22C456" w14:textId="77777777" w:rsidR="005B3AF1" w:rsidRDefault="005B3AF1" w:rsidP="005B3AF1">
      <w:pPr>
        <w:rPr>
          <w:sz w:val="22"/>
          <w:szCs w:val="20"/>
        </w:rPr>
      </w:pPr>
    </w:p>
    <w:p w14:paraId="72B235F0" w14:textId="692276EF" w:rsidR="005B3AF1" w:rsidRDefault="005B3AF1" w:rsidP="005B3AF1">
      <w:pPr>
        <w:rPr>
          <w:b/>
          <w:bCs/>
          <w:sz w:val="22"/>
          <w:szCs w:val="20"/>
        </w:rPr>
      </w:pPr>
      <w:r>
        <w:rPr>
          <w:b/>
          <w:bCs/>
          <w:sz w:val="22"/>
          <w:szCs w:val="20"/>
        </w:rPr>
        <w:t xml:space="preserve">Process </w:t>
      </w:r>
      <w:r w:rsidR="000B1CCE">
        <w:rPr>
          <w:b/>
          <w:bCs/>
          <w:sz w:val="22"/>
          <w:szCs w:val="20"/>
        </w:rPr>
        <w:t xml:space="preserve">when an operator </w:t>
      </w:r>
      <w:r w:rsidR="00FC11A2">
        <w:rPr>
          <w:b/>
          <w:bCs/>
          <w:sz w:val="22"/>
          <w:szCs w:val="20"/>
        </w:rPr>
        <w:t xml:space="preserve">notifies the Secretary of State of a relevant </w:t>
      </w:r>
      <w:proofErr w:type="gramStart"/>
      <w:r w:rsidR="00FC11A2">
        <w:rPr>
          <w:b/>
          <w:bCs/>
          <w:sz w:val="22"/>
          <w:szCs w:val="20"/>
        </w:rPr>
        <w:t>change</w:t>
      </w:r>
      <w:proofErr w:type="gramEnd"/>
    </w:p>
    <w:p w14:paraId="3D95A3E9" w14:textId="0DD49645" w:rsidR="00FC11A2" w:rsidRPr="000B0252" w:rsidRDefault="00FC11A2" w:rsidP="00FC11A2">
      <w:pPr>
        <w:pStyle w:val="ListParagraph"/>
        <w:numPr>
          <w:ilvl w:val="0"/>
          <w:numId w:val="4"/>
        </w:numPr>
        <w:rPr>
          <w:b/>
          <w:bCs/>
          <w:sz w:val="22"/>
          <w:szCs w:val="20"/>
        </w:rPr>
      </w:pPr>
      <w:r>
        <w:rPr>
          <w:sz w:val="22"/>
          <w:szCs w:val="20"/>
        </w:rPr>
        <w:lastRenderedPageBreak/>
        <w:t>If an</w:t>
      </w:r>
      <w:r w:rsidR="00A42617">
        <w:rPr>
          <w:sz w:val="22"/>
          <w:szCs w:val="20"/>
        </w:rPr>
        <w:t xml:space="preserve"> operator</w:t>
      </w:r>
      <w:r>
        <w:rPr>
          <w:sz w:val="22"/>
          <w:szCs w:val="20"/>
        </w:rPr>
        <w:t xml:space="preserve"> </w:t>
      </w:r>
      <w:r w:rsidR="00046DF6">
        <w:rPr>
          <w:sz w:val="22"/>
          <w:szCs w:val="20"/>
        </w:rPr>
        <w:t>under a notification notice identifies a relevant change to a service</w:t>
      </w:r>
      <w:r w:rsidR="00C71399">
        <w:rPr>
          <w:sz w:val="22"/>
          <w:szCs w:val="20"/>
        </w:rPr>
        <w:t xml:space="preserve"> or system</w:t>
      </w:r>
      <w:r w:rsidR="00046DF6">
        <w:rPr>
          <w:sz w:val="22"/>
          <w:szCs w:val="20"/>
        </w:rPr>
        <w:t xml:space="preserve"> set out within that notice</w:t>
      </w:r>
      <w:r w:rsidR="00A42617">
        <w:rPr>
          <w:sz w:val="22"/>
          <w:szCs w:val="20"/>
        </w:rPr>
        <w:t>,</w:t>
      </w:r>
      <w:r w:rsidR="00046DF6">
        <w:rPr>
          <w:sz w:val="22"/>
          <w:szCs w:val="20"/>
        </w:rPr>
        <w:t xml:space="preserve"> they are required to notify the Secretary of State </w:t>
      </w:r>
      <w:r w:rsidR="00681050">
        <w:rPr>
          <w:sz w:val="22"/>
          <w:szCs w:val="20"/>
        </w:rPr>
        <w:t xml:space="preserve">within a reasonable time </w:t>
      </w:r>
      <w:r w:rsidR="00A42617">
        <w:rPr>
          <w:sz w:val="22"/>
          <w:szCs w:val="20"/>
        </w:rPr>
        <w:t xml:space="preserve">before making the relevant change to which the notice applies. </w:t>
      </w:r>
    </w:p>
    <w:p w14:paraId="4C96597F" w14:textId="05F08143" w:rsidR="000B0252" w:rsidRPr="000B0252" w:rsidRDefault="000B0252" w:rsidP="000B0252">
      <w:pPr>
        <w:pStyle w:val="ListParagraph"/>
        <w:rPr>
          <w:b/>
          <w:bCs/>
          <w:sz w:val="22"/>
          <w:szCs w:val="20"/>
        </w:rPr>
      </w:pPr>
    </w:p>
    <w:p w14:paraId="223B7A11" w14:textId="0CAF05CC" w:rsidR="000B0252" w:rsidRPr="00873AB8" w:rsidRDefault="00A82340" w:rsidP="00FC11A2">
      <w:pPr>
        <w:pStyle w:val="ListParagraph"/>
        <w:numPr>
          <w:ilvl w:val="0"/>
          <w:numId w:val="4"/>
        </w:numPr>
        <w:rPr>
          <w:b/>
          <w:sz w:val="22"/>
        </w:rPr>
      </w:pPr>
      <w:r w:rsidRPr="541568CC">
        <w:rPr>
          <w:sz w:val="22"/>
        </w:rPr>
        <w:t xml:space="preserve">A reasonable time is </w:t>
      </w:r>
      <w:r w:rsidR="00B0380A" w:rsidRPr="541568CC">
        <w:rPr>
          <w:sz w:val="22"/>
        </w:rPr>
        <w:t xml:space="preserve">reflective of the language used within the current TCN </w:t>
      </w:r>
      <w:r w:rsidR="00934A77" w:rsidRPr="541568CC">
        <w:rPr>
          <w:sz w:val="22"/>
        </w:rPr>
        <w:t>R</w:t>
      </w:r>
      <w:r w:rsidR="00B0380A" w:rsidRPr="541568CC">
        <w:rPr>
          <w:sz w:val="22"/>
        </w:rPr>
        <w:t xml:space="preserve">egulations with regards to </w:t>
      </w:r>
      <w:r w:rsidR="0081499C" w:rsidRPr="541568CC">
        <w:rPr>
          <w:sz w:val="22"/>
        </w:rPr>
        <w:t xml:space="preserve">the obligation to </w:t>
      </w:r>
      <w:r w:rsidR="00B0380A" w:rsidRPr="541568CC">
        <w:rPr>
          <w:sz w:val="22"/>
        </w:rPr>
        <w:t>notify the Secretary of State of changes.</w:t>
      </w:r>
      <w:r w:rsidR="001030E9" w:rsidRPr="541568CC">
        <w:rPr>
          <w:sz w:val="22"/>
        </w:rPr>
        <w:t xml:space="preserve"> </w:t>
      </w:r>
      <w:r w:rsidR="00157DAB" w:rsidRPr="541568CC">
        <w:rPr>
          <w:sz w:val="22"/>
        </w:rPr>
        <w:t xml:space="preserve">It would be impractical </w:t>
      </w:r>
      <w:r w:rsidRPr="541568CC">
        <w:rPr>
          <w:sz w:val="22"/>
        </w:rPr>
        <w:t>to define reasonable time</w:t>
      </w:r>
      <w:r w:rsidR="00B44604" w:rsidRPr="541568CC">
        <w:rPr>
          <w:sz w:val="22"/>
        </w:rPr>
        <w:t xml:space="preserve"> any further </w:t>
      </w:r>
      <w:r w:rsidR="00426164" w:rsidRPr="541568CC">
        <w:rPr>
          <w:sz w:val="22"/>
        </w:rPr>
        <w:t>g</w:t>
      </w:r>
      <w:r w:rsidR="00983C40" w:rsidRPr="541568CC">
        <w:rPr>
          <w:sz w:val="22"/>
        </w:rPr>
        <w:t>iven reasonableness would be impacted by factors</w:t>
      </w:r>
      <w:r w:rsidR="00DA4750" w:rsidRPr="541568CC">
        <w:rPr>
          <w:sz w:val="22"/>
        </w:rPr>
        <w:t>,</w:t>
      </w:r>
      <w:r w:rsidR="00983C40" w:rsidRPr="541568CC">
        <w:rPr>
          <w:sz w:val="22"/>
        </w:rPr>
        <w:t xml:space="preserve"> such as</w:t>
      </w:r>
      <w:r w:rsidR="00DA4750" w:rsidRPr="541568CC">
        <w:rPr>
          <w:sz w:val="22"/>
        </w:rPr>
        <w:t>, the</w:t>
      </w:r>
      <w:r w:rsidR="00983C40" w:rsidRPr="541568CC">
        <w:rPr>
          <w:sz w:val="22"/>
        </w:rPr>
        <w:t xml:space="preserve"> scale </w:t>
      </w:r>
      <w:r w:rsidR="00DA4750" w:rsidRPr="541568CC">
        <w:rPr>
          <w:sz w:val="22"/>
        </w:rPr>
        <w:t xml:space="preserve">and timing </w:t>
      </w:r>
      <w:r w:rsidR="00983C40" w:rsidRPr="541568CC">
        <w:rPr>
          <w:sz w:val="22"/>
        </w:rPr>
        <w:t xml:space="preserve">of </w:t>
      </w:r>
      <w:r w:rsidR="00DA4750" w:rsidRPr="541568CC">
        <w:rPr>
          <w:sz w:val="22"/>
        </w:rPr>
        <w:t xml:space="preserve">the </w:t>
      </w:r>
      <w:r w:rsidR="00032291" w:rsidRPr="541568CC">
        <w:rPr>
          <w:sz w:val="22"/>
        </w:rPr>
        <w:t xml:space="preserve">proposed </w:t>
      </w:r>
      <w:r w:rsidR="00983C40" w:rsidRPr="541568CC">
        <w:rPr>
          <w:sz w:val="22"/>
        </w:rPr>
        <w:t>change</w:t>
      </w:r>
      <w:r w:rsidR="00B44604" w:rsidRPr="541568CC">
        <w:rPr>
          <w:sz w:val="22"/>
        </w:rPr>
        <w:t xml:space="preserve"> and</w:t>
      </w:r>
      <w:r w:rsidR="002440BC" w:rsidRPr="541568CC">
        <w:rPr>
          <w:sz w:val="22"/>
        </w:rPr>
        <w:t xml:space="preserve"> allows flexibility for the operator and government to work collaboratively. </w:t>
      </w:r>
    </w:p>
    <w:p w14:paraId="5C02EFFD" w14:textId="77777777" w:rsidR="00873AB8" w:rsidRPr="00873AB8" w:rsidRDefault="00873AB8" w:rsidP="00873AB8">
      <w:pPr>
        <w:pStyle w:val="ListParagraph"/>
        <w:rPr>
          <w:b/>
          <w:bCs/>
          <w:sz w:val="22"/>
          <w:szCs w:val="20"/>
        </w:rPr>
      </w:pPr>
    </w:p>
    <w:p w14:paraId="7764E216" w14:textId="59F523FA" w:rsidR="00CE0BDC" w:rsidRDefault="00873AB8" w:rsidP="009601AC">
      <w:pPr>
        <w:pStyle w:val="ListParagraph"/>
        <w:numPr>
          <w:ilvl w:val="0"/>
          <w:numId w:val="4"/>
        </w:numPr>
        <w:rPr>
          <w:b/>
          <w:bCs/>
          <w:sz w:val="22"/>
          <w:szCs w:val="20"/>
        </w:rPr>
      </w:pPr>
      <w:r>
        <w:rPr>
          <w:sz w:val="22"/>
          <w:szCs w:val="20"/>
        </w:rPr>
        <w:t>The Secretary of State will confirm receipt of the notifiable change</w:t>
      </w:r>
      <w:r w:rsidR="00CE228D">
        <w:rPr>
          <w:sz w:val="22"/>
          <w:szCs w:val="20"/>
        </w:rPr>
        <w:t xml:space="preserve"> and with support from law enforcement and agencies, will </w:t>
      </w:r>
      <w:proofErr w:type="gramStart"/>
      <w:r w:rsidR="00CE228D">
        <w:rPr>
          <w:sz w:val="22"/>
          <w:szCs w:val="20"/>
        </w:rPr>
        <w:t>conduct a</w:t>
      </w:r>
      <w:r w:rsidR="00AC6E4F">
        <w:rPr>
          <w:sz w:val="22"/>
          <w:szCs w:val="20"/>
        </w:rPr>
        <w:t>n</w:t>
      </w:r>
      <w:r w:rsidR="00CE228D">
        <w:rPr>
          <w:sz w:val="22"/>
          <w:szCs w:val="20"/>
        </w:rPr>
        <w:t xml:space="preserve"> assessment of</w:t>
      </w:r>
      <w:proofErr w:type="gramEnd"/>
      <w:r w:rsidR="00CE228D">
        <w:rPr>
          <w:sz w:val="22"/>
          <w:szCs w:val="20"/>
        </w:rPr>
        <w:t xml:space="preserve"> the change on lawful access capabilities. </w:t>
      </w:r>
      <w:r w:rsidR="00EB236C">
        <w:rPr>
          <w:sz w:val="22"/>
          <w:szCs w:val="20"/>
        </w:rPr>
        <w:t>I</w:t>
      </w:r>
      <w:r w:rsidR="002F5D5C">
        <w:rPr>
          <w:sz w:val="22"/>
          <w:szCs w:val="20"/>
        </w:rPr>
        <w:t>t will allow</w:t>
      </w:r>
      <w:r w:rsidR="004F44C6">
        <w:rPr>
          <w:sz w:val="22"/>
          <w:szCs w:val="20"/>
        </w:rPr>
        <w:t xml:space="preserve"> a formal </w:t>
      </w:r>
      <w:r w:rsidR="00E44A6C">
        <w:rPr>
          <w:sz w:val="22"/>
          <w:szCs w:val="20"/>
        </w:rPr>
        <w:t>opportunity</w:t>
      </w:r>
      <w:r w:rsidR="002F5D5C">
        <w:rPr>
          <w:sz w:val="22"/>
          <w:szCs w:val="20"/>
        </w:rPr>
        <w:t xml:space="preserve"> for the operator and government to work together and find a solution that </w:t>
      </w:r>
      <w:r w:rsidR="00E44A6C">
        <w:rPr>
          <w:sz w:val="22"/>
          <w:szCs w:val="20"/>
        </w:rPr>
        <w:t xml:space="preserve">will ensure public safety is protected. </w:t>
      </w:r>
      <w:r w:rsidR="00200533">
        <w:rPr>
          <w:sz w:val="22"/>
          <w:szCs w:val="20"/>
        </w:rPr>
        <w:t xml:space="preserve">HMG will contact the operator within 10 working days of receiving the notification if more information is required. </w:t>
      </w:r>
    </w:p>
    <w:p w14:paraId="2C41780F" w14:textId="77777777" w:rsidR="00963DF4" w:rsidRPr="00963DF4" w:rsidRDefault="00963DF4" w:rsidP="00963DF4">
      <w:pPr>
        <w:pStyle w:val="ListParagraph"/>
        <w:rPr>
          <w:b/>
          <w:bCs/>
          <w:sz w:val="22"/>
          <w:szCs w:val="20"/>
        </w:rPr>
      </w:pPr>
    </w:p>
    <w:p w14:paraId="0619F10F" w14:textId="533D69C8" w:rsidR="00963DF4" w:rsidRPr="00963DF4" w:rsidRDefault="00963DF4" w:rsidP="009601AC">
      <w:pPr>
        <w:pStyle w:val="ListParagraph"/>
        <w:numPr>
          <w:ilvl w:val="0"/>
          <w:numId w:val="4"/>
        </w:numPr>
        <w:rPr>
          <w:b/>
          <w:bCs/>
          <w:sz w:val="22"/>
          <w:szCs w:val="20"/>
        </w:rPr>
      </w:pPr>
      <w:r>
        <w:rPr>
          <w:sz w:val="22"/>
          <w:szCs w:val="20"/>
        </w:rPr>
        <w:t>The notification of a proposed change will allow operational partners t</w:t>
      </w:r>
      <w:r w:rsidR="00286497">
        <w:rPr>
          <w:sz w:val="22"/>
          <w:szCs w:val="20"/>
        </w:rPr>
        <w:t>ime to assess the impact and</w:t>
      </w:r>
      <w:r>
        <w:rPr>
          <w:sz w:val="22"/>
          <w:szCs w:val="20"/>
        </w:rPr>
        <w:t xml:space="preserve"> a</w:t>
      </w:r>
      <w:r w:rsidR="00286497">
        <w:rPr>
          <w:sz w:val="22"/>
          <w:szCs w:val="20"/>
        </w:rPr>
        <w:t xml:space="preserve">djust working practices where necessary. </w:t>
      </w:r>
      <w:r w:rsidR="00286497" w:rsidRPr="004D0DE1">
        <w:rPr>
          <w:sz w:val="22"/>
          <w:szCs w:val="20"/>
        </w:rPr>
        <w:t>Should the Secretary of State wish to intervene in any way with the change the operator intends to make, the Secretary of State would use the notices regimes in the same way that is currently available to them.</w:t>
      </w:r>
      <w:r w:rsidR="000C3BC1">
        <w:rPr>
          <w:sz w:val="22"/>
          <w:szCs w:val="20"/>
        </w:rPr>
        <w:t xml:space="preserve"> Such a step would </w:t>
      </w:r>
      <w:r w:rsidR="00051351">
        <w:rPr>
          <w:sz w:val="22"/>
          <w:szCs w:val="20"/>
        </w:rPr>
        <w:t xml:space="preserve">only be </w:t>
      </w:r>
      <w:r w:rsidR="00F96071">
        <w:rPr>
          <w:sz w:val="22"/>
          <w:szCs w:val="20"/>
        </w:rPr>
        <w:t xml:space="preserve">taken if required to </w:t>
      </w:r>
      <w:r w:rsidR="007E39FD">
        <w:rPr>
          <w:sz w:val="22"/>
          <w:szCs w:val="20"/>
        </w:rPr>
        <w:t xml:space="preserve">protect capabilities </w:t>
      </w:r>
      <w:r w:rsidR="00964035">
        <w:rPr>
          <w:sz w:val="22"/>
          <w:szCs w:val="20"/>
        </w:rPr>
        <w:t>and keep people safe.</w:t>
      </w:r>
      <w:r w:rsidR="00FD33BB">
        <w:rPr>
          <w:sz w:val="22"/>
          <w:szCs w:val="20"/>
        </w:rPr>
        <w:t xml:space="preserve"> </w:t>
      </w:r>
    </w:p>
    <w:p w14:paraId="0A288A6D" w14:textId="77777777" w:rsidR="002227B5" w:rsidRDefault="002227B5" w:rsidP="00B77B93">
      <w:pPr>
        <w:pStyle w:val="ListParagraph"/>
        <w:rPr>
          <w:b/>
          <w:bCs/>
          <w:sz w:val="22"/>
          <w:szCs w:val="20"/>
        </w:rPr>
      </w:pPr>
    </w:p>
    <w:p w14:paraId="12953EDC" w14:textId="1BBD01DC" w:rsidR="00B439DC" w:rsidRPr="009016D0" w:rsidRDefault="00B439DC" w:rsidP="00B77B93">
      <w:pPr>
        <w:pStyle w:val="ListParagraph"/>
        <w:rPr>
          <w:b/>
          <w:bCs/>
          <w:sz w:val="22"/>
          <w:szCs w:val="20"/>
        </w:rPr>
      </w:pPr>
    </w:p>
    <w:sectPr w:rsidR="00B439DC" w:rsidRPr="009016D0" w:rsidSect="00D728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8A58" w14:textId="77777777" w:rsidR="00493285" w:rsidRDefault="00493285">
      <w:pPr>
        <w:spacing w:after="0" w:line="240" w:lineRule="auto"/>
      </w:pPr>
      <w:r>
        <w:separator/>
      </w:r>
    </w:p>
  </w:endnote>
  <w:endnote w:type="continuationSeparator" w:id="0">
    <w:p w14:paraId="63BEADBD" w14:textId="77777777" w:rsidR="00493285" w:rsidRDefault="00493285">
      <w:pPr>
        <w:spacing w:after="0" w:line="240" w:lineRule="auto"/>
      </w:pPr>
      <w:r>
        <w:continuationSeparator/>
      </w:r>
    </w:p>
  </w:endnote>
  <w:endnote w:type="continuationNotice" w:id="1">
    <w:p w14:paraId="4150770C" w14:textId="77777777" w:rsidR="00493285" w:rsidRDefault="00493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9B85" w14:textId="77777777" w:rsidR="00493285" w:rsidRDefault="00493285">
      <w:pPr>
        <w:spacing w:after="0" w:line="240" w:lineRule="auto"/>
      </w:pPr>
      <w:r>
        <w:separator/>
      </w:r>
    </w:p>
  </w:footnote>
  <w:footnote w:type="continuationSeparator" w:id="0">
    <w:p w14:paraId="42AFF873" w14:textId="77777777" w:rsidR="00493285" w:rsidRDefault="00493285">
      <w:pPr>
        <w:spacing w:after="0" w:line="240" w:lineRule="auto"/>
      </w:pPr>
      <w:r>
        <w:continuationSeparator/>
      </w:r>
    </w:p>
  </w:footnote>
  <w:footnote w:type="continuationNotice" w:id="1">
    <w:p w14:paraId="3CD05CC8" w14:textId="77777777" w:rsidR="00493285" w:rsidRDefault="00493285">
      <w:pPr>
        <w:spacing w:after="0" w:line="240" w:lineRule="auto"/>
      </w:pPr>
    </w:p>
  </w:footnote>
  <w:footnote w:id="2">
    <w:p w14:paraId="450223F0" w14:textId="77777777" w:rsidR="00F927EB" w:rsidRPr="006B7E15" w:rsidRDefault="00F927EB" w:rsidP="006B7E15">
      <w:pPr>
        <w:pStyle w:val="NormalWeb"/>
        <w:shd w:val="clear" w:color="auto" w:fill="FFFFFF"/>
        <w:spacing w:before="0" w:beforeAutospacing="0" w:after="300" w:afterAutospacing="0"/>
        <w:rPr>
          <w:rFonts w:ascii="Arial" w:hAnsi="Arial" w:cs="Arial"/>
          <w:color w:val="0B0C0C"/>
          <w:sz w:val="18"/>
          <w:szCs w:val="18"/>
        </w:rPr>
      </w:pPr>
      <w:r w:rsidRPr="006B7E15">
        <w:rPr>
          <w:rStyle w:val="FootnoteReference"/>
          <w:sz w:val="18"/>
          <w:szCs w:val="18"/>
        </w:rPr>
        <w:footnoteRef/>
      </w:r>
      <w:r w:rsidRPr="006B7E15">
        <w:rPr>
          <w:sz w:val="18"/>
          <w:szCs w:val="18"/>
        </w:rPr>
        <w:t xml:space="preserve"> </w:t>
      </w:r>
      <w:r w:rsidRPr="006B7E15">
        <w:rPr>
          <w:rFonts w:ascii="Arial" w:hAnsi="Arial" w:cs="Arial"/>
          <w:color w:val="0B0C0C"/>
          <w:sz w:val="18"/>
          <w:szCs w:val="18"/>
        </w:rPr>
        <w:t>The three types of notice are:</w:t>
      </w:r>
    </w:p>
    <w:p w14:paraId="7E298660" w14:textId="77777777" w:rsidR="00F927EB" w:rsidRPr="006B7E15" w:rsidRDefault="00F927EB" w:rsidP="006A2C19">
      <w:pPr>
        <w:numPr>
          <w:ilvl w:val="0"/>
          <w:numId w:val="14"/>
        </w:numPr>
        <w:shd w:val="clear" w:color="auto" w:fill="FFFFFF"/>
        <w:spacing w:after="75" w:line="240" w:lineRule="auto"/>
        <w:ind w:left="1020"/>
        <w:rPr>
          <w:rFonts w:eastAsia="Times New Roman"/>
          <w:color w:val="0B0C0C"/>
          <w:sz w:val="18"/>
          <w:szCs w:val="18"/>
          <w:lang w:eastAsia="en-GB"/>
        </w:rPr>
      </w:pPr>
      <w:r w:rsidRPr="006B7E15">
        <w:rPr>
          <w:rFonts w:eastAsia="Times New Roman"/>
          <w:color w:val="0B0C0C"/>
          <w:sz w:val="18"/>
          <w:szCs w:val="18"/>
          <w:lang w:eastAsia="en-GB"/>
        </w:rPr>
        <w:t>Data Retention Notices which require the retention of communications data (the ‘who’, ‘when’, ‘where’, and ‘how’) by operators.</w:t>
      </w:r>
    </w:p>
    <w:p w14:paraId="1A150910" w14:textId="77777777" w:rsidR="00F927EB" w:rsidRPr="006B7E15" w:rsidRDefault="00F927EB" w:rsidP="00F927EB">
      <w:pPr>
        <w:numPr>
          <w:ilvl w:val="0"/>
          <w:numId w:val="14"/>
        </w:numPr>
        <w:shd w:val="clear" w:color="auto" w:fill="FFFFFF"/>
        <w:spacing w:after="75" w:line="240" w:lineRule="auto"/>
        <w:ind w:left="1020"/>
        <w:rPr>
          <w:rFonts w:eastAsia="Times New Roman"/>
          <w:color w:val="0B0C0C"/>
          <w:sz w:val="18"/>
          <w:szCs w:val="18"/>
          <w:lang w:eastAsia="en-GB"/>
        </w:rPr>
      </w:pPr>
      <w:r w:rsidRPr="006B7E15">
        <w:rPr>
          <w:rFonts w:eastAsia="Times New Roman"/>
          <w:color w:val="0B0C0C"/>
          <w:sz w:val="18"/>
          <w:szCs w:val="18"/>
          <w:lang w:eastAsia="en-GB"/>
        </w:rPr>
        <w:t>Technical Capability Notices which compel companies to build and/or maintain technical capabilities to respond to lawful requests for data under the IPA.</w:t>
      </w:r>
    </w:p>
    <w:p w14:paraId="4D347D8B" w14:textId="589FA487" w:rsidR="00F927EB" w:rsidRPr="00E66130" w:rsidRDefault="00F927EB" w:rsidP="00E66130">
      <w:pPr>
        <w:numPr>
          <w:ilvl w:val="0"/>
          <w:numId w:val="14"/>
        </w:numPr>
        <w:shd w:val="clear" w:color="auto" w:fill="FFFFFF"/>
        <w:spacing w:after="75" w:line="240" w:lineRule="auto"/>
        <w:ind w:left="1020"/>
        <w:rPr>
          <w:rFonts w:eastAsia="Times New Roman"/>
          <w:color w:val="0B0C0C"/>
          <w:sz w:val="18"/>
          <w:szCs w:val="18"/>
          <w:lang w:eastAsia="en-GB"/>
        </w:rPr>
      </w:pPr>
      <w:r w:rsidRPr="006B7E15">
        <w:rPr>
          <w:rFonts w:eastAsia="Times New Roman"/>
          <w:color w:val="0B0C0C"/>
          <w:sz w:val="18"/>
          <w:szCs w:val="18"/>
          <w:lang w:eastAsia="en-GB"/>
        </w:rPr>
        <w:t>National Security Notices which require the telecommunications operator to take specific steps that the Secretary of State considers necessary in the interests of national security. For example, providing services or facilities for the purpose of facilitating or assisting an intelligence service to carry out its functions.</w:t>
      </w:r>
    </w:p>
  </w:footnote>
  <w:footnote w:id="3">
    <w:p w14:paraId="2CC3DD95" w14:textId="46A0A874" w:rsidR="003229DA" w:rsidRPr="0028259D" w:rsidRDefault="003229DA">
      <w:pPr>
        <w:pStyle w:val="FootnoteText"/>
        <w:rPr>
          <w:sz w:val="18"/>
          <w:szCs w:val="18"/>
        </w:rPr>
      </w:pPr>
      <w:r w:rsidRPr="0028259D">
        <w:rPr>
          <w:rStyle w:val="FootnoteReference"/>
          <w:sz w:val="18"/>
          <w:szCs w:val="18"/>
        </w:rPr>
        <w:footnoteRef/>
      </w:r>
      <w:r w:rsidRPr="0028259D">
        <w:rPr>
          <w:sz w:val="18"/>
          <w:szCs w:val="18"/>
        </w:rPr>
        <w:t xml:space="preserve"> As defined by the National Cyber Security Centre- “A security patch fixes a defect in installed software and leaves the intended functionality of the software unchanged”.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3297" w14:textId="3DCEFB41" w:rsidR="00691461" w:rsidRDefault="00691461" w:rsidP="006B7E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06C"/>
    <w:multiLevelType w:val="hybridMultilevel"/>
    <w:tmpl w:val="A3FA2DC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A1155"/>
    <w:multiLevelType w:val="hybridMultilevel"/>
    <w:tmpl w:val="A6A825B6"/>
    <w:lvl w:ilvl="0" w:tplc="2F30C3D8">
      <w:start w:val="16"/>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BF707A"/>
    <w:multiLevelType w:val="hybridMultilevel"/>
    <w:tmpl w:val="0B4E038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261639"/>
    <w:multiLevelType w:val="hybridMultilevel"/>
    <w:tmpl w:val="7A2EC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136F1"/>
    <w:multiLevelType w:val="hybridMultilevel"/>
    <w:tmpl w:val="D158CEE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F079BE"/>
    <w:multiLevelType w:val="hybridMultilevel"/>
    <w:tmpl w:val="8296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C54AF"/>
    <w:multiLevelType w:val="hybridMultilevel"/>
    <w:tmpl w:val="92BEE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2D10C8"/>
    <w:multiLevelType w:val="multilevel"/>
    <w:tmpl w:val="F7F4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E3DBE"/>
    <w:multiLevelType w:val="hybridMultilevel"/>
    <w:tmpl w:val="34EA53FC"/>
    <w:lvl w:ilvl="0" w:tplc="2E40A3DE">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2C82B10"/>
    <w:multiLevelType w:val="hybridMultilevel"/>
    <w:tmpl w:val="926824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D724AED"/>
    <w:multiLevelType w:val="hybridMultilevel"/>
    <w:tmpl w:val="4AC28914"/>
    <w:lvl w:ilvl="0" w:tplc="F4F29144">
      <w:start w:val="17"/>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4B07E6E"/>
    <w:multiLevelType w:val="hybridMultilevel"/>
    <w:tmpl w:val="FFCE192E"/>
    <w:lvl w:ilvl="0" w:tplc="2BC0C1E4">
      <w:start w:val="16"/>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7C5214"/>
    <w:multiLevelType w:val="hybridMultilevel"/>
    <w:tmpl w:val="651421F2"/>
    <w:lvl w:ilvl="0" w:tplc="F4F29144">
      <w:start w:val="1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511DE3"/>
    <w:multiLevelType w:val="hybridMultilevel"/>
    <w:tmpl w:val="A3FA2DCA"/>
    <w:lvl w:ilvl="0" w:tplc="035068C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781618">
    <w:abstractNumId w:val="3"/>
  </w:num>
  <w:num w:numId="2" w16cid:durableId="356975837">
    <w:abstractNumId w:val="9"/>
  </w:num>
  <w:num w:numId="3" w16cid:durableId="840318256">
    <w:abstractNumId w:val="5"/>
  </w:num>
  <w:num w:numId="4" w16cid:durableId="1582711007">
    <w:abstractNumId w:val="13"/>
  </w:num>
  <w:num w:numId="5" w16cid:durableId="1936084431">
    <w:abstractNumId w:val="6"/>
  </w:num>
  <w:num w:numId="6" w16cid:durableId="649792658">
    <w:abstractNumId w:val="12"/>
  </w:num>
  <w:num w:numId="7" w16cid:durableId="1314722060">
    <w:abstractNumId w:val="0"/>
  </w:num>
  <w:num w:numId="8" w16cid:durableId="1033533211">
    <w:abstractNumId w:val="2"/>
  </w:num>
  <w:num w:numId="9" w16cid:durableId="1922328913">
    <w:abstractNumId w:val="11"/>
  </w:num>
  <w:num w:numId="10" w16cid:durableId="1258320807">
    <w:abstractNumId w:val="1"/>
  </w:num>
  <w:num w:numId="11" w16cid:durableId="190068136">
    <w:abstractNumId w:val="4"/>
  </w:num>
  <w:num w:numId="12" w16cid:durableId="1805542891">
    <w:abstractNumId w:val="8"/>
  </w:num>
  <w:num w:numId="13" w16cid:durableId="361177812">
    <w:abstractNumId w:val="10"/>
  </w:num>
  <w:num w:numId="14" w16cid:durableId="423571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B60B05"/>
    <w:rsid w:val="00000C8D"/>
    <w:rsid w:val="000064E0"/>
    <w:rsid w:val="000064F1"/>
    <w:rsid w:val="00013387"/>
    <w:rsid w:val="00013ADE"/>
    <w:rsid w:val="0001647B"/>
    <w:rsid w:val="0001671C"/>
    <w:rsid w:val="000168FE"/>
    <w:rsid w:val="000177B0"/>
    <w:rsid w:val="00023694"/>
    <w:rsid w:val="00023D7C"/>
    <w:rsid w:val="00027607"/>
    <w:rsid w:val="0003052D"/>
    <w:rsid w:val="00030604"/>
    <w:rsid w:val="00030AAF"/>
    <w:rsid w:val="0003169C"/>
    <w:rsid w:val="00031F96"/>
    <w:rsid w:val="00032291"/>
    <w:rsid w:val="00035591"/>
    <w:rsid w:val="000377CB"/>
    <w:rsid w:val="00046DF6"/>
    <w:rsid w:val="0005047C"/>
    <w:rsid w:val="00051351"/>
    <w:rsid w:val="000620F9"/>
    <w:rsid w:val="0006547E"/>
    <w:rsid w:val="000665C1"/>
    <w:rsid w:val="000718F9"/>
    <w:rsid w:val="00073E7B"/>
    <w:rsid w:val="000756AE"/>
    <w:rsid w:val="00080B0A"/>
    <w:rsid w:val="00081086"/>
    <w:rsid w:val="000811C9"/>
    <w:rsid w:val="000820A7"/>
    <w:rsid w:val="00084378"/>
    <w:rsid w:val="0008596F"/>
    <w:rsid w:val="000876A5"/>
    <w:rsid w:val="00092BF5"/>
    <w:rsid w:val="000944A2"/>
    <w:rsid w:val="00095295"/>
    <w:rsid w:val="000A018D"/>
    <w:rsid w:val="000A2C1A"/>
    <w:rsid w:val="000A3B19"/>
    <w:rsid w:val="000A4634"/>
    <w:rsid w:val="000A70D9"/>
    <w:rsid w:val="000B0252"/>
    <w:rsid w:val="000B1CCE"/>
    <w:rsid w:val="000B4F36"/>
    <w:rsid w:val="000C0317"/>
    <w:rsid w:val="000C06E6"/>
    <w:rsid w:val="000C1104"/>
    <w:rsid w:val="000C2423"/>
    <w:rsid w:val="000C3BC1"/>
    <w:rsid w:val="000C6B8A"/>
    <w:rsid w:val="000D1582"/>
    <w:rsid w:val="000D2BE6"/>
    <w:rsid w:val="000D441F"/>
    <w:rsid w:val="000D4909"/>
    <w:rsid w:val="000D5A19"/>
    <w:rsid w:val="000E0A92"/>
    <w:rsid w:val="000E30BD"/>
    <w:rsid w:val="000E71C4"/>
    <w:rsid w:val="000F01AB"/>
    <w:rsid w:val="000F47E4"/>
    <w:rsid w:val="000F4D31"/>
    <w:rsid w:val="000F61A4"/>
    <w:rsid w:val="000F6216"/>
    <w:rsid w:val="000F6C1D"/>
    <w:rsid w:val="000F715E"/>
    <w:rsid w:val="000F7E78"/>
    <w:rsid w:val="000F7F4E"/>
    <w:rsid w:val="00100AE3"/>
    <w:rsid w:val="001030E9"/>
    <w:rsid w:val="0010492E"/>
    <w:rsid w:val="001053AF"/>
    <w:rsid w:val="00110EED"/>
    <w:rsid w:val="001121FE"/>
    <w:rsid w:val="00114C8A"/>
    <w:rsid w:val="00114DE4"/>
    <w:rsid w:val="00114F30"/>
    <w:rsid w:val="00115C43"/>
    <w:rsid w:val="001169AA"/>
    <w:rsid w:val="00116E03"/>
    <w:rsid w:val="00117265"/>
    <w:rsid w:val="00123A35"/>
    <w:rsid w:val="00124A7D"/>
    <w:rsid w:val="00125DCC"/>
    <w:rsid w:val="001308A8"/>
    <w:rsid w:val="001326A8"/>
    <w:rsid w:val="00133912"/>
    <w:rsid w:val="00134036"/>
    <w:rsid w:val="00135EED"/>
    <w:rsid w:val="00136C85"/>
    <w:rsid w:val="0014144E"/>
    <w:rsid w:val="00144B70"/>
    <w:rsid w:val="001520CF"/>
    <w:rsid w:val="00153D34"/>
    <w:rsid w:val="00154B3B"/>
    <w:rsid w:val="00154FD1"/>
    <w:rsid w:val="00155326"/>
    <w:rsid w:val="00156D19"/>
    <w:rsid w:val="001574F9"/>
    <w:rsid w:val="00157DAB"/>
    <w:rsid w:val="00160296"/>
    <w:rsid w:val="00163266"/>
    <w:rsid w:val="00164B5E"/>
    <w:rsid w:val="00166CEE"/>
    <w:rsid w:val="00167E34"/>
    <w:rsid w:val="00171827"/>
    <w:rsid w:val="00175800"/>
    <w:rsid w:val="001773A4"/>
    <w:rsid w:val="00177B00"/>
    <w:rsid w:val="00183093"/>
    <w:rsid w:val="00184833"/>
    <w:rsid w:val="00184EF3"/>
    <w:rsid w:val="00190A61"/>
    <w:rsid w:val="001928F4"/>
    <w:rsid w:val="001A154B"/>
    <w:rsid w:val="001A3C2A"/>
    <w:rsid w:val="001A3D00"/>
    <w:rsid w:val="001B1E7D"/>
    <w:rsid w:val="001B3290"/>
    <w:rsid w:val="001B6514"/>
    <w:rsid w:val="001B6D14"/>
    <w:rsid w:val="001C1F1F"/>
    <w:rsid w:val="001C4F7F"/>
    <w:rsid w:val="001C5C00"/>
    <w:rsid w:val="001D36C4"/>
    <w:rsid w:val="001D4425"/>
    <w:rsid w:val="001D6AEE"/>
    <w:rsid w:val="001D7402"/>
    <w:rsid w:val="001E06BA"/>
    <w:rsid w:val="001E18B4"/>
    <w:rsid w:val="001E38D4"/>
    <w:rsid w:val="001F17A3"/>
    <w:rsid w:val="001F3511"/>
    <w:rsid w:val="001F538E"/>
    <w:rsid w:val="00200533"/>
    <w:rsid w:val="002052BB"/>
    <w:rsid w:val="002071C5"/>
    <w:rsid w:val="00210A96"/>
    <w:rsid w:val="00211AEE"/>
    <w:rsid w:val="00214A86"/>
    <w:rsid w:val="0021623A"/>
    <w:rsid w:val="0022046C"/>
    <w:rsid w:val="00222494"/>
    <w:rsid w:val="002227B5"/>
    <w:rsid w:val="00226065"/>
    <w:rsid w:val="0023003E"/>
    <w:rsid w:val="00231BA4"/>
    <w:rsid w:val="002337C0"/>
    <w:rsid w:val="002349B2"/>
    <w:rsid w:val="0023686A"/>
    <w:rsid w:val="0024031C"/>
    <w:rsid w:val="00240CB5"/>
    <w:rsid w:val="00243658"/>
    <w:rsid w:val="00243E46"/>
    <w:rsid w:val="002440BC"/>
    <w:rsid w:val="002451CF"/>
    <w:rsid w:val="00245E8A"/>
    <w:rsid w:val="002550D4"/>
    <w:rsid w:val="00255302"/>
    <w:rsid w:val="00256461"/>
    <w:rsid w:val="0025753D"/>
    <w:rsid w:val="00257780"/>
    <w:rsid w:val="002604F4"/>
    <w:rsid w:val="002613FE"/>
    <w:rsid w:val="00263C73"/>
    <w:rsid w:val="00263E44"/>
    <w:rsid w:val="00264D95"/>
    <w:rsid w:val="0026544C"/>
    <w:rsid w:val="00265C7D"/>
    <w:rsid w:val="00266BD3"/>
    <w:rsid w:val="0026736F"/>
    <w:rsid w:val="002676CA"/>
    <w:rsid w:val="00273163"/>
    <w:rsid w:val="00273206"/>
    <w:rsid w:val="00273AC9"/>
    <w:rsid w:val="002757EA"/>
    <w:rsid w:val="00276D72"/>
    <w:rsid w:val="002770AE"/>
    <w:rsid w:val="00277CC7"/>
    <w:rsid w:val="002813F8"/>
    <w:rsid w:val="0028259D"/>
    <w:rsid w:val="0028283D"/>
    <w:rsid w:val="002851D8"/>
    <w:rsid w:val="002856A5"/>
    <w:rsid w:val="00286497"/>
    <w:rsid w:val="00287881"/>
    <w:rsid w:val="00291F9D"/>
    <w:rsid w:val="002958EC"/>
    <w:rsid w:val="002962B1"/>
    <w:rsid w:val="002A03EA"/>
    <w:rsid w:val="002A08B9"/>
    <w:rsid w:val="002A08BB"/>
    <w:rsid w:val="002A328B"/>
    <w:rsid w:val="002A6E9B"/>
    <w:rsid w:val="002B0781"/>
    <w:rsid w:val="002B2266"/>
    <w:rsid w:val="002B37D5"/>
    <w:rsid w:val="002B64FA"/>
    <w:rsid w:val="002C1A49"/>
    <w:rsid w:val="002C1D60"/>
    <w:rsid w:val="002C1DB8"/>
    <w:rsid w:val="002C1E43"/>
    <w:rsid w:val="002C2859"/>
    <w:rsid w:val="002C3E7E"/>
    <w:rsid w:val="002D0267"/>
    <w:rsid w:val="002D166D"/>
    <w:rsid w:val="002D56EF"/>
    <w:rsid w:val="002E191B"/>
    <w:rsid w:val="002E2CB2"/>
    <w:rsid w:val="002E3655"/>
    <w:rsid w:val="002F06D6"/>
    <w:rsid w:val="002F0973"/>
    <w:rsid w:val="002F1C92"/>
    <w:rsid w:val="002F3B5F"/>
    <w:rsid w:val="002F596B"/>
    <w:rsid w:val="002F5D5C"/>
    <w:rsid w:val="00301B69"/>
    <w:rsid w:val="00302D4B"/>
    <w:rsid w:val="00304F69"/>
    <w:rsid w:val="003065A6"/>
    <w:rsid w:val="00314417"/>
    <w:rsid w:val="003155A8"/>
    <w:rsid w:val="00316C31"/>
    <w:rsid w:val="003202A8"/>
    <w:rsid w:val="00320388"/>
    <w:rsid w:val="003229DA"/>
    <w:rsid w:val="00322E8A"/>
    <w:rsid w:val="00324631"/>
    <w:rsid w:val="003268E8"/>
    <w:rsid w:val="00327EE0"/>
    <w:rsid w:val="00333390"/>
    <w:rsid w:val="00334998"/>
    <w:rsid w:val="0033580A"/>
    <w:rsid w:val="00342569"/>
    <w:rsid w:val="00345252"/>
    <w:rsid w:val="00346CC1"/>
    <w:rsid w:val="0035257B"/>
    <w:rsid w:val="00353A6F"/>
    <w:rsid w:val="0035509A"/>
    <w:rsid w:val="00356EEF"/>
    <w:rsid w:val="00357959"/>
    <w:rsid w:val="003609CB"/>
    <w:rsid w:val="0036125A"/>
    <w:rsid w:val="00362845"/>
    <w:rsid w:val="00364C85"/>
    <w:rsid w:val="00371C5B"/>
    <w:rsid w:val="003753BA"/>
    <w:rsid w:val="003763DD"/>
    <w:rsid w:val="00376750"/>
    <w:rsid w:val="00381C79"/>
    <w:rsid w:val="00381ED0"/>
    <w:rsid w:val="003832C2"/>
    <w:rsid w:val="003838F0"/>
    <w:rsid w:val="00385A56"/>
    <w:rsid w:val="0039019A"/>
    <w:rsid w:val="0039060F"/>
    <w:rsid w:val="00390B56"/>
    <w:rsid w:val="00392BF1"/>
    <w:rsid w:val="00397DA7"/>
    <w:rsid w:val="003A160A"/>
    <w:rsid w:val="003A291C"/>
    <w:rsid w:val="003A2D8A"/>
    <w:rsid w:val="003A3770"/>
    <w:rsid w:val="003B0D1B"/>
    <w:rsid w:val="003B235A"/>
    <w:rsid w:val="003B29F8"/>
    <w:rsid w:val="003B4CC5"/>
    <w:rsid w:val="003B55ED"/>
    <w:rsid w:val="003C0116"/>
    <w:rsid w:val="003C0550"/>
    <w:rsid w:val="003C27EE"/>
    <w:rsid w:val="003C476F"/>
    <w:rsid w:val="003C6ED0"/>
    <w:rsid w:val="003D1BAA"/>
    <w:rsid w:val="003D3F57"/>
    <w:rsid w:val="003D6610"/>
    <w:rsid w:val="003D7977"/>
    <w:rsid w:val="003E0516"/>
    <w:rsid w:val="003E142B"/>
    <w:rsid w:val="003E1AD9"/>
    <w:rsid w:val="003E1B64"/>
    <w:rsid w:val="003E289F"/>
    <w:rsid w:val="003E5076"/>
    <w:rsid w:val="003E7898"/>
    <w:rsid w:val="003F372B"/>
    <w:rsid w:val="003F6B7E"/>
    <w:rsid w:val="003F6DD9"/>
    <w:rsid w:val="003F7AAC"/>
    <w:rsid w:val="003F7E6A"/>
    <w:rsid w:val="00400D90"/>
    <w:rsid w:val="0040154A"/>
    <w:rsid w:val="0040438E"/>
    <w:rsid w:val="00406394"/>
    <w:rsid w:val="00415A44"/>
    <w:rsid w:val="00416F3B"/>
    <w:rsid w:val="00426164"/>
    <w:rsid w:val="004262D2"/>
    <w:rsid w:val="00427399"/>
    <w:rsid w:val="00430A8B"/>
    <w:rsid w:val="0043275A"/>
    <w:rsid w:val="004354D6"/>
    <w:rsid w:val="004407B4"/>
    <w:rsid w:val="00441721"/>
    <w:rsid w:val="00441930"/>
    <w:rsid w:val="00446C69"/>
    <w:rsid w:val="004476CD"/>
    <w:rsid w:val="0045006C"/>
    <w:rsid w:val="00454C8B"/>
    <w:rsid w:val="004635CC"/>
    <w:rsid w:val="00465A2C"/>
    <w:rsid w:val="00466A3A"/>
    <w:rsid w:val="00467EA5"/>
    <w:rsid w:val="00470391"/>
    <w:rsid w:val="00470801"/>
    <w:rsid w:val="004717F0"/>
    <w:rsid w:val="00473D2C"/>
    <w:rsid w:val="004742E0"/>
    <w:rsid w:val="0047542D"/>
    <w:rsid w:val="004759FD"/>
    <w:rsid w:val="004761BB"/>
    <w:rsid w:val="004815EC"/>
    <w:rsid w:val="00485762"/>
    <w:rsid w:val="004931F8"/>
    <w:rsid w:val="00493285"/>
    <w:rsid w:val="004942CB"/>
    <w:rsid w:val="00494789"/>
    <w:rsid w:val="00495719"/>
    <w:rsid w:val="00497DB5"/>
    <w:rsid w:val="004A1DC8"/>
    <w:rsid w:val="004A3360"/>
    <w:rsid w:val="004A6C83"/>
    <w:rsid w:val="004B0D39"/>
    <w:rsid w:val="004B0FDC"/>
    <w:rsid w:val="004B2086"/>
    <w:rsid w:val="004B3F3F"/>
    <w:rsid w:val="004B5248"/>
    <w:rsid w:val="004B5D92"/>
    <w:rsid w:val="004B602A"/>
    <w:rsid w:val="004B6DC8"/>
    <w:rsid w:val="004B72E7"/>
    <w:rsid w:val="004B7D82"/>
    <w:rsid w:val="004C0710"/>
    <w:rsid w:val="004C5EB4"/>
    <w:rsid w:val="004C74AB"/>
    <w:rsid w:val="004D0DE1"/>
    <w:rsid w:val="004D1CF8"/>
    <w:rsid w:val="004D5EB3"/>
    <w:rsid w:val="004D62DC"/>
    <w:rsid w:val="004D630D"/>
    <w:rsid w:val="004D7BAD"/>
    <w:rsid w:val="004E12E3"/>
    <w:rsid w:val="004E13FA"/>
    <w:rsid w:val="004E164C"/>
    <w:rsid w:val="004E1D95"/>
    <w:rsid w:val="004E245B"/>
    <w:rsid w:val="004E40F7"/>
    <w:rsid w:val="004E4435"/>
    <w:rsid w:val="004E55E5"/>
    <w:rsid w:val="004E7CF3"/>
    <w:rsid w:val="004F44C6"/>
    <w:rsid w:val="004F5C85"/>
    <w:rsid w:val="004F6DF2"/>
    <w:rsid w:val="004F6EEB"/>
    <w:rsid w:val="00502E96"/>
    <w:rsid w:val="00510BC6"/>
    <w:rsid w:val="00513374"/>
    <w:rsid w:val="00513779"/>
    <w:rsid w:val="00514354"/>
    <w:rsid w:val="0051515A"/>
    <w:rsid w:val="005151A6"/>
    <w:rsid w:val="00515D64"/>
    <w:rsid w:val="0051776C"/>
    <w:rsid w:val="00517E50"/>
    <w:rsid w:val="00522481"/>
    <w:rsid w:val="005246FF"/>
    <w:rsid w:val="005257B1"/>
    <w:rsid w:val="00531AEA"/>
    <w:rsid w:val="00532811"/>
    <w:rsid w:val="0053361F"/>
    <w:rsid w:val="0053374B"/>
    <w:rsid w:val="00535597"/>
    <w:rsid w:val="005355D5"/>
    <w:rsid w:val="00537480"/>
    <w:rsid w:val="005402CE"/>
    <w:rsid w:val="00545484"/>
    <w:rsid w:val="00545ED5"/>
    <w:rsid w:val="0054699A"/>
    <w:rsid w:val="00546D5D"/>
    <w:rsid w:val="00551F54"/>
    <w:rsid w:val="005565D7"/>
    <w:rsid w:val="00560FBB"/>
    <w:rsid w:val="005610FF"/>
    <w:rsid w:val="00561841"/>
    <w:rsid w:val="00564836"/>
    <w:rsid w:val="00564C26"/>
    <w:rsid w:val="0056551E"/>
    <w:rsid w:val="00565AC7"/>
    <w:rsid w:val="00565D76"/>
    <w:rsid w:val="005715FB"/>
    <w:rsid w:val="00572FBE"/>
    <w:rsid w:val="0057666F"/>
    <w:rsid w:val="00576844"/>
    <w:rsid w:val="00577DE7"/>
    <w:rsid w:val="00582148"/>
    <w:rsid w:val="00583E03"/>
    <w:rsid w:val="00585B14"/>
    <w:rsid w:val="00586B0B"/>
    <w:rsid w:val="00587336"/>
    <w:rsid w:val="005961BB"/>
    <w:rsid w:val="00596654"/>
    <w:rsid w:val="00597221"/>
    <w:rsid w:val="005A4205"/>
    <w:rsid w:val="005A5D12"/>
    <w:rsid w:val="005A677B"/>
    <w:rsid w:val="005A6C0F"/>
    <w:rsid w:val="005A7384"/>
    <w:rsid w:val="005A7865"/>
    <w:rsid w:val="005B225A"/>
    <w:rsid w:val="005B251E"/>
    <w:rsid w:val="005B2C7D"/>
    <w:rsid w:val="005B3880"/>
    <w:rsid w:val="005B3AF1"/>
    <w:rsid w:val="005B6931"/>
    <w:rsid w:val="005C34A4"/>
    <w:rsid w:val="005C7A11"/>
    <w:rsid w:val="005D0ADE"/>
    <w:rsid w:val="005D14B9"/>
    <w:rsid w:val="005D41F0"/>
    <w:rsid w:val="005D4630"/>
    <w:rsid w:val="005D5F44"/>
    <w:rsid w:val="005D7897"/>
    <w:rsid w:val="005D7B3B"/>
    <w:rsid w:val="005E20E9"/>
    <w:rsid w:val="005E5A04"/>
    <w:rsid w:val="005E7F3F"/>
    <w:rsid w:val="005F120D"/>
    <w:rsid w:val="005F5692"/>
    <w:rsid w:val="005F5BEF"/>
    <w:rsid w:val="005F6061"/>
    <w:rsid w:val="005F74AC"/>
    <w:rsid w:val="0060235B"/>
    <w:rsid w:val="00602FE1"/>
    <w:rsid w:val="006032E9"/>
    <w:rsid w:val="00612B38"/>
    <w:rsid w:val="00616872"/>
    <w:rsid w:val="00617634"/>
    <w:rsid w:val="00623696"/>
    <w:rsid w:val="00623C91"/>
    <w:rsid w:val="00626BF9"/>
    <w:rsid w:val="00631C33"/>
    <w:rsid w:val="0063368E"/>
    <w:rsid w:val="0063589E"/>
    <w:rsid w:val="00642057"/>
    <w:rsid w:val="006444B1"/>
    <w:rsid w:val="00646E1B"/>
    <w:rsid w:val="00651BA1"/>
    <w:rsid w:val="00652375"/>
    <w:rsid w:val="0065681B"/>
    <w:rsid w:val="00661557"/>
    <w:rsid w:val="00662605"/>
    <w:rsid w:val="0066274A"/>
    <w:rsid w:val="00665231"/>
    <w:rsid w:val="0066784E"/>
    <w:rsid w:val="00674398"/>
    <w:rsid w:val="0067710D"/>
    <w:rsid w:val="006774B6"/>
    <w:rsid w:val="006807E7"/>
    <w:rsid w:val="00681050"/>
    <w:rsid w:val="00684767"/>
    <w:rsid w:val="00686CBD"/>
    <w:rsid w:val="00691461"/>
    <w:rsid w:val="00692068"/>
    <w:rsid w:val="006936DB"/>
    <w:rsid w:val="006946D0"/>
    <w:rsid w:val="00695697"/>
    <w:rsid w:val="00696B5F"/>
    <w:rsid w:val="006A0225"/>
    <w:rsid w:val="006A074F"/>
    <w:rsid w:val="006A0FBD"/>
    <w:rsid w:val="006A2C19"/>
    <w:rsid w:val="006B03D5"/>
    <w:rsid w:val="006B199D"/>
    <w:rsid w:val="006B31BB"/>
    <w:rsid w:val="006B3266"/>
    <w:rsid w:val="006B5EA8"/>
    <w:rsid w:val="006B6262"/>
    <w:rsid w:val="006B7E15"/>
    <w:rsid w:val="006C04C4"/>
    <w:rsid w:val="006C36F7"/>
    <w:rsid w:val="006C55EB"/>
    <w:rsid w:val="006C6503"/>
    <w:rsid w:val="006D19F4"/>
    <w:rsid w:val="006D322E"/>
    <w:rsid w:val="006D5B10"/>
    <w:rsid w:val="006E3E09"/>
    <w:rsid w:val="006E63E0"/>
    <w:rsid w:val="006E685A"/>
    <w:rsid w:val="006F0DAF"/>
    <w:rsid w:val="00700057"/>
    <w:rsid w:val="00700889"/>
    <w:rsid w:val="00701B63"/>
    <w:rsid w:val="00704AFB"/>
    <w:rsid w:val="00706234"/>
    <w:rsid w:val="0070639B"/>
    <w:rsid w:val="00706CB5"/>
    <w:rsid w:val="00706EC5"/>
    <w:rsid w:val="0071169C"/>
    <w:rsid w:val="0071247C"/>
    <w:rsid w:val="00712D1A"/>
    <w:rsid w:val="007141C1"/>
    <w:rsid w:val="00714227"/>
    <w:rsid w:val="007210D1"/>
    <w:rsid w:val="00723161"/>
    <w:rsid w:val="007241D8"/>
    <w:rsid w:val="007256F0"/>
    <w:rsid w:val="007277F6"/>
    <w:rsid w:val="00732384"/>
    <w:rsid w:val="0073381A"/>
    <w:rsid w:val="00735976"/>
    <w:rsid w:val="00737136"/>
    <w:rsid w:val="007405DF"/>
    <w:rsid w:val="00741FEB"/>
    <w:rsid w:val="00743956"/>
    <w:rsid w:val="00744129"/>
    <w:rsid w:val="007445F3"/>
    <w:rsid w:val="0074603E"/>
    <w:rsid w:val="00747401"/>
    <w:rsid w:val="0075098D"/>
    <w:rsid w:val="00756EB5"/>
    <w:rsid w:val="00761DA8"/>
    <w:rsid w:val="0076358A"/>
    <w:rsid w:val="00764431"/>
    <w:rsid w:val="0076613D"/>
    <w:rsid w:val="00766D18"/>
    <w:rsid w:val="007707CD"/>
    <w:rsid w:val="00772253"/>
    <w:rsid w:val="0077450C"/>
    <w:rsid w:val="00775F91"/>
    <w:rsid w:val="00776208"/>
    <w:rsid w:val="007837A7"/>
    <w:rsid w:val="00784CE3"/>
    <w:rsid w:val="00786080"/>
    <w:rsid w:val="007870AF"/>
    <w:rsid w:val="007A1E25"/>
    <w:rsid w:val="007A6B27"/>
    <w:rsid w:val="007A6EF6"/>
    <w:rsid w:val="007A7E0A"/>
    <w:rsid w:val="007B3125"/>
    <w:rsid w:val="007B67AA"/>
    <w:rsid w:val="007B6F2B"/>
    <w:rsid w:val="007B731A"/>
    <w:rsid w:val="007B7D40"/>
    <w:rsid w:val="007C0692"/>
    <w:rsid w:val="007C2A92"/>
    <w:rsid w:val="007C2F40"/>
    <w:rsid w:val="007C4DA5"/>
    <w:rsid w:val="007C54CB"/>
    <w:rsid w:val="007C5D1E"/>
    <w:rsid w:val="007C6793"/>
    <w:rsid w:val="007C6CA9"/>
    <w:rsid w:val="007D0258"/>
    <w:rsid w:val="007D0F5D"/>
    <w:rsid w:val="007D37FB"/>
    <w:rsid w:val="007E13FC"/>
    <w:rsid w:val="007E1FE3"/>
    <w:rsid w:val="007E290C"/>
    <w:rsid w:val="007E39FD"/>
    <w:rsid w:val="007E47FE"/>
    <w:rsid w:val="007E5ADF"/>
    <w:rsid w:val="007E6701"/>
    <w:rsid w:val="007F0E23"/>
    <w:rsid w:val="007F23D1"/>
    <w:rsid w:val="007F6B5E"/>
    <w:rsid w:val="007F6EB6"/>
    <w:rsid w:val="007F7A3C"/>
    <w:rsid w:val="008037BA"/>
    <w:rsid w:val="00803E5B"/>
    <w:rsid w:val="00805209"/>
    <w:rsid w:val="00806D1A"/>
    <w:rsid w:val="00807B82"/>
    <w:rsid w:val="0081094E"/>
    <w:rsid w:val="00812E84"/>
    <w:rsid w:val="00813293"/>
    <w:rsid w:val="0081499C"/>
    <w:rsid w:val="00815729"/>
    <w:rsid w:val="008177AD"/>
    <w:rsid w:val="0082281E"/>
    <w:rsid w:val="0082704F"/>
    <w:rsid w:val="00827429"/>
    <w:rsid w:val="00830205"/>
    <w:rsid w:val="00830DC7"/>
    <w:rsid w:val="00832FBE"/>
    <w:rsid w:val="0083494C"/>
    <w:rsid w:val="00834D78"/>
    <w:rsid w:val="00836848"/>
    <w:rsid w:val="00836DE7"/>
    <w:rsid w:val="00840385"/>
    <w:rsid w:val="00843147"/>
    <w:rsid w:val="00850F5C"/>
    <w:rsid w:val="00852F75"/>
    <w:rsid w:val="00854168"/>
    <w:rsid w:val="008552C2"/>
    <w:rsid w:val="00855A21"/>
    <w:rsid w:val="008577D8"/>
    <w:rsid w:val="008579A3"/>
    <w:rsid w:val="00861FF8"/>
    <w:rsid w:val="008629F6"/>
    <w:rsid w:val="008651BF"/>
    <w:rsid w:val="00870159"/>
    <w:rsid w:val="0087258F"/>
    <w:rsid w:val="00872A47"/>
    <w:rsid w:val="008732D1"/>
    <w:rsid w:val="00873AB8"/>
    <w:rsid w:val="00874781"/>
    <w:rsid w:val="00874BDA"/>
    <w:rsid w:val="00875010"/>
    <w:rsid w:val="00883629"/>
    <w:rsid w:val="00891A20"/>
    <w:rsid w:val="008A05BD"/>
    <w:rsid w:val="008A7C1C"/>
    <w:rsid w:val="008B0936"/>
    <w:rsid w:val="008B21AE"/>
    <w:rsid w:val="008B4EC6"/>
    <w:rsid w:val="008B655C"/>
    <w:rsid w:val="008B7BDF"/>
    <w:rsid w:val="008C0952"/>
    <w:rsid w:val="008C4303"/>
    <w:rsid w:val="008D0DAD"/>
    <w:rsid w:val="008D27E0"/>
    <w:rsid w:val="008D4054"/>
    <w:rsid w:val="008D7900"/>
    <w:rsid w:val="008E0F10"/>
    <w:rsid w:val="008F0AEC"/>
    <w:rsid w:val="008F0DC8"/>
    <w:rsid w:val="008F0FCD"/>
    <w:rsid w:val="008F0FEB"/>
    <w:rsid w:val="008F110B"/>
    <w:rsid w:val="008F28FA"/>
    <w:rsid w:val="008F4BFD"/>
    <w:rsid w:val="008F6748"/>
    <w:rsid w:val="009016D0"/>
    <w:rsid w:val="00902DE0"/>
    <w:rsid w:val="009030CB"/>
    <w:rsid w:val="00905FA4"/>
    <w:rsid w:val="009101EC"/>
    <w:rsid w:val="009113B5"/>
    <w:rsid w:val="00912872"/>
    <w:rsid w:val="009136AB"/>
    <w:rsid w:val="00914033"/>
    <w:rsid w:val="0091475E"/>
    <w:rsid w:val="00917B3F"/>
    <w:rsid w:val="009209E8"/>
    <w:rsid w:val="009249A6"/>
    <w:rsid w:val="009258BA"/>
    <w:rsid w:val="0092743A"/>
    <w:rsid w:val="00927567"/>
    <w:rsid w:val="00934A77"/>
    <w:rsid w:val="00940CC4"/>
    <w:rsid w:val="00946CE6"/>
    <w:rsid w:val="00947A88"/>
    <w:rsid w:val="00950134"/>
    <w:rsid w:val="009505F6"/>
    <w:rsid w:val="00950E1C"/>
    <w:rsid w:val="009512DA"/>
    <w:rsid w:val="00954105"/>
    <w:rsid w:val="009570D2"/>
    <w:rsid w:val="009601AC"/>
    <w:rsid w:val="00962751"/>
    <w:rsid w:val="00963DF4"/>
    <w:rsid w:val="00964035"/>
    <w:rsid w:val="00964640"/>
    <w:rsid w:val="00964AC5"/>
    <w:rsid w:val="00967C92"/>
    <w:rsid w:val="00970EFF"/>
    <w:rsid w:val="009751D2"/>
    <w:rsid w:val="00976F02"/>
    <w:rsid w:val="00982F1A"/>
    <w:rsid w:val="00983C40"/>
    <w:rsid w:val="00985404"/>
    <w:rsid w:val="0098599F"/>
    <w:rsid w:val="00987914"/>
    <w:rsid w:val="00987A25"/>
    <w:rsid w:val="009919D4"/>
    <w:rsid w:val="00991A8C"/>
    <w:rsid w:val="0099263A"/>
    <w:rsid w:val="009930CD"/>
    <w:rsid w:val="0099349C"/>
    <w:rsid w:val="00994874"/>
    <w:rsid w:val="00994EAF"/>
    <w:rsid w:val="009A14DD"/>
    <w:rsid w:val="009A169D"/>
    <w:rsid w:val="009A1EA2"/>
    <w:rsid w:val="009A4A11"/>
    <w:rsid w:val="009A4F4A"/>
    <w:rsid w:val="009A613D"/>
    <w:rsid w:val="009B1366"/>
    <w:rsid w:val="009C1511"/>
    <w:rsid w:val="009C1778"/>
    <w:rsid w:val="009C2BFC"/>
    <w:rsid w:val="009C5977"/>
    <w:rsid w:val="009C69CA"/>
    <w:rsid w:val="009D45B6"/>
    <w:rsid w:val="009E0CC3"/>
    <w:rsid w:val="009E2FB3"/>
    <w:rsid w:val="009E39A1"/>
    <w:rsid w:val="009F0674"/>
    <w:rsid w:val="009F29C1"/>
    <w:rsid w:val="009F4B66"/>
    <w:rsid w:val="00A00DBE"/>
    <w:rsid w:val="00A0492B"/>
    <w:rsid w:val="00A04F16"/>
    <w:rsid w:val="00A06698"/>
    <w:rsid w:val="00A1008B"/>
    <w:rsid w:val="00A11A77"/>
    <w:rsid w:val="00A11DC1"/>
    <w:rsid w:val="00A15D90"/>
    <w:rsid w:val="00A200F5"/>
    <w:rsid w:val="00A211F5"/>
    <w:rsid w:val="00A214B6"/>
    <w:rsid w:val="00A2218D"/>
    <w:rsid w:val="00A235AC"/>
    <w:rsid w:val="00A24405"/>
    <w:rsid w:val="00A25599"/>
    <w:rsid w:val="00A26B23"/>
    <w:rsid w:val="00A32865"/>
    <w:rsid w:val="00A33CD1"/>
    <w:rsid w:val="00A34BA7"/>
    <w:rsid w:val="00A357AF"/>
    <w:rsid w:val="00A367B2"/>
    <w:rsid w:val="00A36CAF"/>
    <w:rsid w:val="00A3740A"/>
    <w:rsid w:val="00A40950"/>
    <w:rsid w:val="00A42617"/>
    <w:rsid w:val="00A4437F"/>
    <w:rsid w:val="00A44BC1"/>
    <w:rsid w:val="00A45AEE"/>
    <w:rsid w:val="00A53ABF"/>
    <w:rsid w:val="00A544B7"/>
    <w:rsid w:val="00A57677"/>
    <w:rsid w:val="00A6208E"/>
    <w:rsid w:val="00A63D57"/>
    <w:rsid w:val="00A64241"/>
    <w:rsid w:val="00A65123"/>
    <w:rsid w:val="00A674DB"/>
    <w:rsid w:val="00A7259A"/>
    <w:rsid w:val="00A73163"/>
    <w:rsid w:val="00A75EC1"/>
    <w:rsid w:val="00A761DB"/>
    <w:rsid w:val="00A76E43"/>
    <w:rsid w:val="00A7748F"/>
    <w:rsid w:val="00A80D7A"/>
    <w:rsid w:val="00A811CD"/>
    <w:rsid w:val="00A81B1C"/>
    <w:rsid w:val="00A82340"/>
    <w:rsid w:val="00A919C9"/>
    <w:rsid w:val="00A94376"/>
    <w:rsid w:val="00A94532"/>
    <w:rsid w:val="00A96043"/>
    <w:rsid w:val="00AA0ABC"/>
    <w:rsid w:val="00AA3E2C"/>
    <w:rsid w:val="00AA48EC"/>
    <w:rsid w:val="00AA6351"/>
    <w:rsid w:val="00AB303D"/>
    <w:rsid w:val="00AB3C41"/>
    <w:rsid w:val="00AB4BD2"/>
    <w:rsid w:val="00AB6448"/>
    <w:rsid w:val="00AC2F0E"/>
    <w:rsid w:val="00AC6E4F"/>
    <w:rsid w:val="00AD0EB9"/>
    <w:rsid w:val="00AD1DD4"/>
    <w:rsid w:val="00AD5375"/>
    <w:rsid w:val="00AD64D6"/>
    <w:rsid w:val="00AE2ED9"/>
    <w:rsid w:val="00AE4E4B"/>
    <w:rsid w:val="00AE5E37"/>
    <w:rsid w:val="00AF05B9"/>
    <w:rsid w:val="00AF0C46"/>
    <w:rsid w:val="00AF7DF4"/>
    <w:rsid w:val="00B018A1"/>
    <w:rsid w:val="00B0210F"/>
    <w:rsid w:val="00B02709"/>
    <w:rsid w:val="00B0380A"/>
    <w:rsid w:val="00B06035"/>
    <w:rsid w:val="00B061F4"/>
    <w:rsid w:val="00B06C74"/>
    <w:rsid w:val="00B07049"/>
    <w:rsid w:val="00B07274"/>
    <w:rsid w:val="00B10631"/>
    <w:rsid w:val="00B1501E"/>
    <w:rsid w:val="00B15D6C"/>
    <w:rsid w:val="00B163F7"/>
    <w:rsid w:val="00B173C0"/>
    <w:rsid w:val="00B21835"/>
    <w:rsid w:val="00B238C7"/>
    <w:rsid w:val="00B3227F"/>
    <w:rsid w:val="00B40D89"/>
    <w:rsid w:val="00B40F90"/>
    <w:rsid w:val="00B4365C"/>
    <w:rsid w:val="00B439DC"/>
    <w:rsid w:val="00B44604"/>
    <w:rsid w:val="00B44986"/>
    <w:rsid w:val="00B468FF"/>
    <w:rsid w:val="00B52EA3"/>
    <w:rsid w:val="00B52FF8"/>
    <w:rsid w:val="00B5659B"/>
    <w:rsid w:val="00B60B05"/>
    <w:rsid w:val="00B623F7"/>
    <w:rsid w:val="00B6282B"/>
    <w:rsid w:val="00B67029"/>
    <w:rsid w:val="00B67CDC"/>
    <w:rsid w:val="00B714D2"/>
    <w:rsid w:val="00B7297B"/>
    <w:rsid w:val="00B74E03"/>
    <w:rsid w:val="00B761FA"/>
    <w:rsid w:val="00B76E98"/>
    <w:rsid w:val="00B77129"/>
    <w:rsid w:val="00B77B93"/>
    <w:rsid w:val="00B82CF2"/>
    <w:rsid w:val="00B84239"/>
    <w:rsid w:val="00B90EB9"/>
    <w:rsid w:val="00B920E0"/>
    <w:rsid w:val="00B96EA8"/>
    <w:rsid w:val="00B96FBB"/>
    <w:rsid w:val="00BA11F6"/>
    <w:rsid w:val="00BA139C"/>
    <w:rsid w:val="00BA4A83"/>
    <w:rsid w:val="00BB0E17"/>
    <w:rsid w:val="00BB765B"/>
    <w:rsid w:val="00BC2888"/>
    <w:rsid w:val="00BC3F16"/>
    <w:rsid w:val="00BC404D"/>
    <w:rsid w:val="00BC4E86"/>
    <w:rsid w:val="00BC7463"/>
    <w:rsid w:val="00BD04C9"/>
    <w:rsid w:val="00BD0FC4"/>
    <w:rsid w:val="00BD2DA9"/>
    <w:rsid w:val="00BD5375"/>
    <w:rsid w:val="00BE2E7C"/>
    <w:rsid w:val="00BE340E"/>
    <w:rsid w:val="00BE51C3"/>
    <w:rsid w:val="00BE7691"/>
    <w:rsid w:val="00BF397A"/>
    <w:rsid w:val="00BF3F43"/>
    <w:rsid w:val="00BF4DFF"/>
    <w:rsid w:val="00BF5D65"/>
    <w:rsid w:val="00C00C99"/>
    <w:rsid w:val="00C02066"/>
    <w:rsid w:val="00C04C41"/>
    <w:rsid w:val="00C05525"/>
    <w:rsid w:val="00C127BA"/>
    <w:rsid w:val="00C1447F"/>
    <w:rsid w:val="00C145CF"/>
    <w:rsid w:val="00C17179"/>
    <w:rsid w:val="00C1755F"/>
    <w:rsid w:val="00C2174E"/>
    <w:rsid w:val="00C22844"/>
    <w:rsid w:val="00C24884"/>
    <w:rsid w:val="00C248E1"/>
    <w:rsid w:val="00C27374"/>
    <w:rsid w:val="00C30EC1"/>
    <w:rsid w:val="00C33C49"/>
    <w:rsid w:val="00C34A54"/>
    <w:rsid w:val="00C36E27"/>
    <w:rsid w:val="00C4006C"/>
    <w:rsid w:val="00C43D9F"/>
    <w:rsid w:val="00C44B81"/>
    <w:rsid w:val="00C45157"/>
    <w:rsid w:val="00C462DB"/>
    <w:rsid w:val="00C46451"/>
    <w:rsid w:val="00C55439"/>
    <w:rsid w:val="00C55492"/>
    <w:rsid w:val="00C56928"/>
    <w:rsid w:val="00C60484"/>
    <w:rsid w:val="00C60C07"/>
    <w:rsid w:val="00C658FD"/>
    <w:rsid w:val="00C66056"/>
    <w:rsid w:val="00C71399"/>
    <w:rsid w:val="00C72749"/>
    <w:rsid w:val="00C7315E"/>
    <w:rsid w:val="00C735A8"/>
    <w:rsid w:val="00C73978"/>
    <w:rsid w:val="00C73B49"/>
    <w:rsid w:val="00C74509"/>
    <w:rsid w:val="00C76055"/>
    <w:rsid w:val="00C81A8F"/>
    <w:rsid w:val="00C876D4"/>
    <w:rsid w:val="00C90CB3"/>
    <w:rsid w:val="00C90D17"/>
    <w:rsid w:val="00C91CCC"/>
    <w:rsid w:val="00C95880"/>
    <w:rsid w:val="00C964FE"/>
    <w:rsid w:val="00C96EF7"/>
    <w:rsid w:val="00C96F75"/>
    <w:rsid w:val="00CA052D"/>
    <w:rsid w:val="00CA0A95"/>
    <w:rsid w:val="00CA4E31"/>
    <w:rsid w:val="00CA5459"/>
    <w:rsid w:val="00CA67E2"/>
    <w:rsid w:val="00CA6C1A"/>
    <w:rsid w:val="00CA74AF"/>
    <w:rsid w:val="00CA750E"/>
    <w:rsid w:val="00CA76B9"/>
    <w:rsid w:val="00CA7931"/>
    <w:rsid w:val="00CB1D47"/>
    <w:rsid w:val="00CB252F"/>
    <w:rsid w:val="00CB4A2A"/>
    <w:rsid w:val="00CB56D2"/>
    <w:rsid w:val="00CB6688"/>
    <w:rsid w:val="00CB771F"/>
    <w:rsid w:val="00CB77AD"/>
    <w:rsid w:val="00CC1045"/>
    <w:rsid w:val="00CC1658"/>
    <w:rsid w:val="00CC1C30"/>
    <w:rsid w:val="00CC263B"/>
    <w:rsid w:val="00CC2D84"/>
    <w:rsid w:val="00CC3201"/>
    <w:rsid w:val="00CC3D73"/>
    <w:rsid w:val="00CC499C"/>
    <w:rsid w:val="00CC5E4C"/>
    <w:rsid w:val="00CD1E4F"/>
    <w:rsid w:val="00CD3380"/>
    <w:rsid w:val="00CD3556"/>
    <w:rsid w:val="00CD39FF"/>
    <w:rsid w:val="00CD4FFF"/>
    <w:rsid w:val="00CD5B68"/>
    <w:rsid w:val="00CD739D"/>
    <w:rsid w:val="00CE09A7"/>
    <w:rsid w:val="00CE0BDC"/>
    <w:rsid w:val="00CE0D3F"/>
    <w:rsid w:val="00CE228D"/>
    <w:rsid w:val="00CE2A68"/>
    <w:rsid w:val="00CE31F1"/>
    <w:rsid w:val="00CE4329"/>
    <w:rsid w:val="00CF1556"/>
    <w:rsid w:val="00CF16F7"/>
    <w:rsid w:val="00CF22E9"/>
    <w:rsid w:val="00CF30F9"/>
    <w:rsid w:val="00CF460B"/>
    <w:rsid w:val="00CF55AD"/>
    <w:rsid w:val="00D026A8"/>
    <w:rsid w:val="00D028F9"/>
    <w:rsid w:val="00D02C61"/>
    <w:rsid w:val="00D035BD"/>
    <w:rsid w:val="00D0543B"/>
    <w:rsid w:val="00D0648A"/>
    <w:rsid w:val="00D07CBE"/>
    <w:rsid w:val="00D112ED"/>
    <w:rsid w:val="00D2405B"/>
    <w:rsid w:val="00D27363"/>
    <w:rsid w:val="00D27778"/>
    <w:rsid w:val="00D30C4A"/>
    <w:rsid w:val="00D339C4"/>
    <w:rsid w:val="00D33F90"/>
    <w:rsid w:val="00D370A0"/>
    <w:rsid w:val="00D407AB"/>
    <w:rsid w:val="00D47184"/>
    <w:rsid w:val="00D472C8"/>
    <w:rsid w:val="00D559A8"/>
    <w:rsid w:val="00D55A57"/>
    <w:rsid w:val="00D55E1B"/>
    <w:rsid w:val="00D62160"/>
    <w:rsid w:val="00D62BB0"/>
    <w:rsid w:val="00D64658"/>
    <w:rsid w:val="00D64A59"/>
    <w:rsid w:val="00D72372"/>
    <w:rsid w:val="00D728BE"/>
    <w:rsid w:val="00D75B68"/>
    <w:rsid w:val="00D7698F"/>
    <w:rsid w:val="00D83FB2"/>
    <w:rsid w:val="00D860B8"/>
    <w:rsid w:val="00D86708"/>
    <w:rsid w:val="00D93455"/>
    <w:rsid w:val="00DA4750"/>
    <w:rsid w:val="00DA5281"/>
    <w:rsid w:val="00DA5BEE"/>
    <w:rsid w:val="00DA6069"/>
    <w:rsid w:val="00DB01DD"/>
    <w:rsid w:val="00DB0789"/>
    <w:rsid w:val="00DB106A"/>
    <w:rsid w:val="00DB39DF"/>
    <w:rsid w:val="00DB6446"/>
    <w:rsid w:val="00DC2847"/>
    <w:rsid w:val="00DC7B85"/>
    <w:rsid w:val="00DC7F17"/>
    <w:rsid w:val="00DD0E4D"/>
    <w:rsid w:val="00DD17C0"/>
    <w:rsid w:val="00DD19A0"/>
    <w:rsid w:val="00DD2C68"/>
    <w:rsid w:val="00DD4D61"/>
    <w:rsid w:val="00DD6963"/>
    <w:rsid w:val="00DE43FB"/>
    <w:rsid w:val="00DE5153"/>
    <w:rsid w:val="00DF03A2"/>
    <w:rsid w:val="00DF1BF0"/>
    <w:rsid w:val="00DF34E0"/>
    <w:rsid w:val="00DF74BF"/>
    <w:rsid w:val="00E03960"/>
    <w:rsid w:val="00E03E29"/>
    <w:rsid w:val="00E04556"/>
    <w:rsid w:val="00E05393"/>
    <w:rsid w:val="00E06954"/>
    <w:rsid w:val="00E06A59"/>
    <w:rsid w:val="00E10371"/>
    <w:rsid w:val="00E10BFE"/>
    <w:rsid w:val="00E118DE"/>
    <w:rsid w:val="00E140EF"/>
    <w:rsid w:val="00E17F77"/>
    <w:rsid w:val="00E2114C"/>
    <w:rsid w:val="00E24AD9"/>
    <w:rsid w:val="00E2610B"/>
    <w:rsid w:val="00E27420"/>
    <w:rsid w:val="00E278C6"/>
    <w:rsid w:val="00E3187B"/>
    <w:rsid w:val="00E33EFD"/>
    <w:rsid w:val="00E340A6"/>
    <w:rsid w:val="00E37ED1"/>
    <w:rsid w:val="00E41EB4"/>
    <w:rsid w:val="00E428D5"/>
    <w:rsid w:val="00E4379A"/>
    <w:rsid w:val="00E44045"/>
    <w:rsid w:val="00E44A6C"/>
    <w:rsid w:val="00E45213"/>
    <w:rsid w:val="00E45810"/>
    <w:rsid w:val="00E46484"/>
    <w:rsid w:val="00E465DD"/>
    <w:rsid w:val="00E46D72"/>
    <w:rsid w:val="00E472F8"/>
    <w:rsid w:val="00E47473"/>
    <w:rsid w:val="00E47E5C"/>
    <w:rsid w:val="00E50FC7"/>
    <w:rsid w:val="00E52B45"/>
    <w:rsid w:val="00E5376C"/>
    <w:rsid w:val="00E56C86"/>
    <w:rsid w:val="00E60086"/>
    <w:rsid w:val="00E6141C"/>
    <w:rsid w:val="00E6258B"/>
    <w:rsid w:val="00E64A1A"/>
    <w:rsid w:val="00E65E59"/>
    <w:rsid w:val="00E66130"/>
    <w:rsid w:val="00E67160"/>
    <w:rsid w:val="00E67609"/>
    <w:rsid w:val="00E67768"/>
    <w:rsid w:val="00E73992"/>
    <w:rsid w:val="00E74B95"/>
    <w:rsid w:val="00E810F4"/>
    <w:rsid w:val="00E816EA"/>
    <w:rsid w:val="00E83418"/>
    <w:rsid w:val="00E908BA"/>
    <w:rsid w:val="00E90939"/>
    <w:rsid w:val="00E90E8C"/>
    <w:rsid w:val="00E93651"/>
    <w:rsid w:val="00EA091E"/>
    <w:rsid w:val="00EA2735"/>
    <w:rsid w:val="00EA2DE7"/>
    <w:rsid w:val="00EA37F0"/>
    <w:rsid w:val="00EA61F2"/>
    <w:rsid w:val="00EA69B7"/>
    <w:rsid w:val="00EA6D98"/>
    <w:rsid w:val="00EA6E86"/>
    <w:rsid w:val="00EB0134"/>
    <w:rsid w:val="00EB1FC7"/>
    <w:rsid w:val="00EB236C"/>
    <w:rsid w:val="00EB2D48"/>
    <w:rsid w:val="00EB2F62"/>
    <w:rsid w:val="00EB5A30"/>
    <w:rsid w:val="00EB6EE7"/>
    <w:rsid w:val="00EB74F3"/>
    <w:rsid w:val="00EC1D82"/>
    <w:rsid w:val="00EC24F3"/>
    <w:rsid w:val="00EC3A54"/>
    <w:rsid w:val="00ED0F67"/>
    <w:rsid w:val="00ED2B90"/>
    <w:rsid w:val="00ED36A0"/>
    <w:rsid w:val="00ED69DA"/>
    <w:rsid w:val="00ED6F20"/>
    <w:rsid w:val="00ED735A"/>
    <w:rsid w:val="00EE03A6"/>
    <w:rsid w:val="00EE0CB7"/>
    <w:rsid w:val="00EE3253"/>
    <w:rsid w:val="00EE38A4"/>
    <w:rsid w:val="00EF04D4"/>
    <w:rsid w:val="00EF0782"/>
    <w:rsid w:val="00EF08D4"/>
    <w:rsid w:val="00EF10F4"/>
    <w:rsid w:val="00EF30A3"/>
    <w:rsid w:val="00EF3301"/>
    <w:rsid w:val="00EF3AED"/>
    <w:rsid w:val="00EF3FF7"/>
    <w:rsid w:val="00EF73FB"/>
    <w:rsid w:val="00F0136B"/>
    <w:rsid w:val="00F0235F"/>
    <w:rsid w:val="00F05C72"/>
    <w:rsid w:val="00F07954"/>
    <w:rsid w:val="00F105F6"/>
    <w:rsid w:val="00F15AD6"/>
    <w:rsid w:val="00F16E72"/>
    <w:rsid w:val="00F178B4"/>
    <w:rsid w:val="00F21899"/>
    <w:rsid w:val="00F25495"/>
    <w:rsid w:val="00F25CB5"/>
    <w:rsid w:val="00F27B7A"/>
    <w:rsid w:val="00F314A2"/>
    <w:rsid w:val="00F31CC2"/>
    <w:rsid w:val="00F328B7"/>
    <w:rsid w:val="00F33A62"/>
    <w:rsid w:val="00F3586A"/>
    <w:rsid w:val="00F47164"/>
    <w:rsid w:val="00F47CA5"/>
    <w:rsid w:val="00F50C67"/>
    <w:rsid w:val="00F50D22"/>
    <w:rsid w:val="00F516EA"/>
    <w:rsid w:val="00F51B30"/>
    <w:rsid w:val="00F532AE"/>
    <w:rsid w:val="00F56F46"/>
    <w:rsid w:val="00F571A6"/>
    <w:rsid w:val="00F5734C"/>
    <w:rsid w:val="00F603C1"/>
    <w:rsid w:val="00F60BDD"/>
    <w:rsid w:val="00F620C5"/>
    <w:rsid w:val="00F6538B"/>
    <w:rsid w:val="00F67ECF"/>
    <w:rsid w:val="00F72508"/>
    <w:rsid w:val="00F740E3"/>
    <w:rsid w:val="00F76186"/>
    <w:rsid w:val="00F80050"/>
    <w:rsid w:val="00F8027D"/>
    <w:rsid w:val="00F81117"/>
    <w:rsid w:val="00F81E6F"/>
    <w:rsid w:val="00F84A4E"/>
    <w:rsid w:val="00F85B1A"/>
    <w:rsid w:val="00F91B36"/>
    <w:rsid w:val="00F91F7D"/>
    <w:rsid w:val="00F92078"/>
    <w:rsid w:val="00F927EB"/>
    <w:rsid w:val="00F92E22"/>
    <w:rsid w:val="00F94C75"/>
    <w:rsid w:val="00F95F0E"/>
    <w:rsid w:val="00F96071"/>
    <w:rsid w:val="00FA3A72"/>
    <w:rsid w:val="00FA49E5"/>
    <w:rsid w:val="00FA4EC5"/>
    <w:rsid w:val="00FA63B1"/>
    <w:rsid w:val="00FA6D46"/>
    <w:rsid w:val="00FB0371"/>
    <w:rsid w:val="00FB3463"/>
    <w:rsid w:val="00FB43D7"/>
    <w:rsid w:val="00FB695D"/>
    <w:rsid w:val="00FC11A2"/>
    <w:rsid w:val="00FC128F"/>
    <w:rsid w:val="00FC5C7B"/>
    <w:rsid w:val="00FC67CB"/>
    <w:rsid w:val="00FC6A44"/>
    <w:rsid w:val="00FC6DE6"/>
    <w:rsid w:val="00FD004C"/>
    <w:rsid w:val="00FD197D"/>
    <w:rsid w:val="00FD2F7A"/>
    <w:rsid w:val="00FD33BB"/>
    <w:rsid w:val="00FE1839"/>
    <w:rsid w:val="00FE3C66"/>
    <w:rsid w:val="00FE4557"/>
    <w:rsid w:val="00FE69C3"/>
    <w:rsid w:val="00FF3925"/>
    <w:rsid w:val="00FF3AAE"/>
    <w:rsid w:val="09A8F083"/>
    <w:rsid w:val="200291D7"/>
    <w:rsid w:val="446721D9"/>
    <w:rsid w:val="5372F4B7"/>
    <w:rsid w:val="541568CC"/>
    <w:rsid w:val="56BB2F25"/>
    <w:rsid w:val="79DF18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2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A1"/>
    <w:pPr>
      <w:ind w:left="720"/>
      <w:contextualSpacing/>
    </w:pPr>
  </w:style>
  <w:style w:type="character" w:styleId="CommentReference">
    <w:name w:val="annotation reference"/>
    <w:basedOn w:val="DefaultParagraphFont"/>
    <w:uiPriority w:val="99"/>
    <w:semiHidden/>
    <w:unhideWhenUsed/>
    <w:rsid w:val="00F0136B"/>
    <w:rPr>
      <w:sz w:val="16"/>
      <w:szCs w:val="16"/>
    </w:rPr>
  </w:style>
  <w:style w:type="paragraph" w:styleId="CommentText">
    <w:name w:val="annotation text"/>
    <w:basedOn w:val="Normal"/>
    <w:link w:val="CommentTextChar"/>
    <w:uiPriority w:val="99"/>
    <w:unhideWhenUsed/>
    <w:rsid w:val="00F0136B"/>
    <w:pPr>
      <w:spacing w:line="240" w:lineRule="auto"/>
    </w:pPr>
    <w:rPr>
      <w:sz w:val="20"/>
      <w:szCs w:val="20"/>
    </w:rPr>
  </w:style>
  <w:style w:type="character" w:customStyle="1" w:styleId="CommentTextChar">
    <w:name w:val="Comment Text Char"/>
    <w:basedOn w:val="DefaultParagraphFont"/>
    <w:link w:val="CommentText"/>
    <w:uiPriority w:val="99"/>
    <w:rsid w:val="00F0136B"/>
    <w:rPr>
      <w:sz w:val="20"/>
      <w:szCs w:val="20"/>
    </w:rPr>
  </w:style>
  <w:style w:type="paragraph" w:styleId="CommentSubject">
    <w:name w:val="annotation subject"/>
    <w:basedOn w:val="CommentText"/>
    <w:next w:val="CommentText"/>
    <w:link w:val="CommentSubjectChar"/>
    <w:uiPriority w:val="99"/>
    <w:semiHidden/>
    <w:unhideWhenUsed/>
    <w:rsid w:val="00F0136B"/>
    <w:rPr>
      <w:b/>
      <w:bCs/>
    </w:rPr>
  </w:style>
  <w:style w:type="character" w:customStyle="1" w:styleId="CommentSubjectChar">
    <w:name w:val="Comment Subject Char"/>
    <w:basedOn w:val="CommentTextChar"/>
    <w:link w:val="CommentSubject"/>
    <w:uiPriority w:val="99"/>
    <w:semiHidden/>
    <w:rsid w:val="00F0136B"/>
    <w:rPr>
      <w:b/>
      <w:bCs/>
      <w:sz w:val="20"/>
      <w:szCs w:val="20"/>
    </w:rPr>
  </w:style>
  <w:style w:type="character" w:styleId="Hyperlink">
    <w:name w:val="Hyperlink"/>
    <w:basedOn w:val="DefaultParagraphFont"/>
    <w:uiPriority w:val="99"/>
    <w:semiHidden/>
    <w:unhideWhenUsed/>
    <w:rsid w:val="00A75EC1"/>
    <w:rPr>
      <w:color w:val="0000FF"/>
      <w:u w:val="single"/>
    </w:rPr>
  </w:style>
  <w:style w:type="paragraph" w:styleId="Header">
    <w:name w:val="header"/>
    <w:basedOn w:val="Normal"/>
    <w:link w:val="HeaderChar"/>
    <w:uiPriority w:val="99"/>
    <w:unhideWhenUsed/>
    <w:rsid w:val="0069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461"/>
  </w:style>
  <w:style w:type="paragraph" w:styleId="Footer">
    <w:name w:val="footer"/>
    <w:basedOn w:val="Normal"/>
    <w:link w:val="FooterChar"/>
    <w:uiPriority w:val="99"/>
    <w:unhideWhenUsed/>
    <w:rsid w:val="0069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461"/>
  </w:style>
  <w:style w:type="paragraph" w:styleId="Revision">
    <w:name w:val="Revision"/>
    <w:hidden/>
    <w:uiPriority w:val="99"/>
    <w:semiHidden/>
    <w:rsid w:val="00691461"/>
    <w:pPr>
      <w:spacing w:after="0" w:line="240" w:lineRule="auto"/>
    </w:pPr>
  </w:style>
  <w:style w:type="paragraph" w:styleId="FootnoteText">
    <w:name w:val="footnote text"/>
    <w:basedOn w:val="Normal"/>
    <w:link w:val="FootnoteTextChar"/>
    <w:uiPriority w:val="99"/>
    <w:semiHidden/>
    <w:unhideWhenUsed/>
    <w:rsid w:val="00691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461"/>
    <w:rPr>
      <w:sz w:val="20"/>
      <w:szCs w:val="20"/>
    </w:rPr>
  </w:style>
  <w:style w:type="character" w:styleId="FootnoteReference">
    <w:name w:val="footnote reference"/>
    <w:basedOn w:val="DefaultParagraphFont"/>
    <w:uiPriority w:val="99"/>
    <w:semiHidden/>
    <w:unhideWhenUsed/>
    <w:rsid w:val="00691461"/>
    <w:rPr>
      <w:vertAlign w:val="superscript"/>
    </w:rPr>
  </w:style>
  <w:style w:type="paragraph" w:styleId="NormalWeb">
    <w:name w:val="Normal (Web)"/>
    <w:basedOn w:val="Normal"/>
    <w:uiPriority w:val="99"/>
    <w:unhideWhenUsed/>
    <w:rsid w:val="0069146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tion">
    <w:name w:val="Mention"/>
    <w:basedOn w:val="DefaultParagraphFont"/>
    <w:uiPriority w:val="99"/>
    <w:unhideWhenUsed/>
    <w:rsid w:val="00BD0F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Links>
    <vt:vector size="6" baseType="variant">
      <vt:variant>
        <vt:i4>4391015</vt:i4>
      </vt:variant>
      <vt:variant>
        <vt:i4>0</vt:i4>
      </vt:variant>
      <vt:variant>
        <vt:i4>0</vt:i4>
      </vt:variant>
      <vt:variant>
        <vt:i4>5</vt:i4>
      </vt:variant>
      <vt:variant>
        <vt:lpwstr>mailto:Phoebe.McKenzie@homeoffice.gov.uk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2023-12-06T14:52:00Z</dcterms:created>
  <dcterms:modified xsi:type="dcterms:W3CDTF">2023-12-06T14:53:00Z</dcterms:modified>
</cp:coreProperties>
</file>