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169D7B78" w:rsidR="003C0362" w:rsidRPr="00D5409B" w:rsidRDefault="00F525AD" w:rsidP="005C6F05">
      <w:pPr>
        <w:pStyle w:val="Heading1"/>
        <w:jc w:val="center"/>
        <w:rPr>
          <w:rStyle w:val="IntenseReference"/>
          <w:b w:val="0"/>
          <w:bCs w:val="0"/>
          <w:smallCaps w:val="0"/>
          <w:color w:val="7030A0"/>
          <w:spacing w:val="0"/>
        </w:rPr>
      </w:pPr>
      <w:r>
        <w:rPr>
          <w:rStyle w:val="IntenseReference"/>
          <w:b w:val="0"/>
          <w:bCs w:val="0"/>
          <w:smallCaps w:val="0"/>
          <w:color w:val="7030A0"/>
          <w:spacing w:val="0"/>
        </w:rPr>
        <w:t>West Mercia</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1BCECDE4" w14:textId="77777777" w:rsidR="005C6F05" w:rsidRDefault="003C0362" w:rsidP="005C6F05">
      <w:pPr>
        <w:pStyle w:val="Heading1"/>
        <w:jc w:val="center"/>
      </w:pPr>
      <w:r w:rsidRPr="0069414D">
        <w:t>Annual Report</w:t>
      </w:r>
      <w:r w:rsidR="005C6F05">
        <w:t xml:space="preserve"> </w:t>
      </w:r>
    </w:p>
    <w:p w14:paraId="0C50DCB0" w14:textId="7DBECD16" w:rsidR="005C6F05" w:rsidRPr="005C6F05" w:rsidRDefault="005C6F05" w:rsidP="005C6F05">
      <w:pPr>
        <w:pStyle w:val="Heading1"/>
        <w:jc w:val="center"/>
        <w:sectPr w:rsidR="005C6F05" w:rsidRPr="005C6F05" w:rsidSect="00740AED">
          <w:footerReference w:type="even" r:id="rId13"/>
          <w:footerReference w:type="default" r:id="rId14"/>
          <w:footerReference w:type="first" r:id="rId15"/>
          <w:pgSz w:w="11905" w:h="16837" w:code="9"/>
          <w:pgMar w:top="720" w:right="720" w:bottom="720" w:left="0" w:header="720" w:footer="567" w:gutter="0"/>
          <w:cols w:space="720"/>
          <w:noEndnote/>
        </w:sectPr>
      </w:pPr>
      <w:r>
        <w:t>2022 – 2023</w:t>
      </w:r>
    </w:p>
    <w:p w14:paraId="114EE9B3" w14:textId="46A57092" w:rsidR="00332EE6" w:rsidRPr="0069414D" w:rsidRDefault="00332EE6" w:rsidP="008D1CDE">
      <w:pPr>
        <w:pStyle w:val="Heading1"/>
        <w:jc w:val="left"/>
      </w:pPr>
      <w:r w:rsidRPr="0069414D">
        <w:lastRenderedPageBreak/>
        <w:t>Intro</w:t>
      </w:r>
      <w:r w:rsidR="001B6D88">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6A501FE2" w14:textId="53AA0F8E" w:rsidR="001B6D88" w:rsidRPr="001B6D88" w:rsidRDefault="001B6D88" w:rsidP="001B6D88">
      <w:pPr>
        <w:spacing w:after="240" w:line="240" w:lineRule="exact"/>
        <w:rPr>
          <w:rFonts w:ascii="Arial" w:hAnsi="Arial" w:cs="Arial"/>
          <w:sz w:val="20"/>
          <w:szCs w:val="20"/>
        </w:rPr>
      </w:pPr>
      <w:r w:rsidRPr="001B6D88">
        <w:rPr>
          <w:rFonts w:ascii="Arial" w:hAnsi="Arial" w:cs="Arial"/>
          <w:sz w:val="20"/>
          <w:szCs w:val="20"/>
        </w:rPr>
        <w:t>On behalf of the Strategic Management Board (SMB) for West Mercia Multi Agency Public Protection Arrangements (MAPPA) it is our pleasure to present the Annual Report for 202</w:t>
      </w:r>
      <w:r>
        <w:rPr>
          <w:rFonts w:ascii="Arial" w:hAnsi="Arial" w:cs="Arial"/>
          <w:sz w:val="20"/>
          <w:szCs w:val="20"/>
        </w:rPr>
        <w:t>2</w:t>
      </w:r>
      <w:r w:rsidRPr="001B6D88">
        <w:rPr>
          <w:rFonts w:ascii="Arial" w:hAnsi="Arial" w:cs="Arial"/>
          <w:sz w:val="20"/>
          <w:szCs w:val="20"/>
        </w:rPr>
        <w:t>/2</w:t>
      </w:r>
      <w:r>
        <w:rPr>
          <w:rFonts w:ascii="Arial" w:hAnsi="Arial" w:cs="Arial"/>
          <w:sz w:val="20"/>
          <w:szCs w:val="20"/>
        </w:rPr>
        <w:t>3</w:t>
      </w:r>
      <w:r w:rsidRPr="001B6D88">
        <w:rPr>
          <w:rFonts w:ascii="Arial" w:hAnsi="Arial" w:cs="Arial"/>
          <w:sz w:val="20"/>
          <w:szCs w:val="20"/>
        </w:rPr>
        <w:t>.</w:t>
      </w:r>
    </w:p>
    <w:p w14:paraId="1EE3FE3D" w14:textId="77777777" w:rsidR="001B6D88" w:rsidRPr="001B6D88" w:rsidRDefault="001B6D88" w:rsidP="001B6D88">
      <w:pPr>
        <w:spacing w:after="240" w:line="240" w:lineRule="exact"/>
        <w:rPr>
          <w:rFonts w:ascii="Arial" w:hAnsi="Arial" w:cs="Arial"/>
          <w:sz w:val="20"/>
          <w:szCs w:val="20"/>
          <w:lang w:eastAsia="en-US"/>
        </w:rPr>
      </w:pPr>
      <w:r w:rsidRPr="001B6D88">
        <w:rPr>
          <w:rFonts w:ascii="Arial" w:hAnsi="Arial" w:cs="Arial"/>
          <w:sz w:val="20"/>
          <w:szCs w:val="20"/>
        </w:rPr>
        <w:t xml:space="preserve">MAPPA is a statutory function, and its key aim is to ensure the protection of the public by ensuring robust assessment and management is in place for those individuals in our communities who have committed serious acts of violent or sexual offending and present the potential for future harm. </w:t>
      </w:r>
    </w:p>
    <w:p w14:paraId="2B9D3B89" w14:textId="77777777" w:rsidR="001B6D88" w:rsidRPr="001B6D88" w:rsidRDefault="001B6D88" w:rsidP="001B6D88">
      <w:pPr>
        <w:spacing w:after="240" w:line="240" w:lineRule="exact"/>
        <w:rPr>
          <w:rFonts w:ascii="Arial" w:hAnsi="Arial" w:cs="Arial"/>
          <w:sz w:val="20"/>
          <w:szCs w:val="20"/>
        </w:rPr>
      </w:pPr>
      <w:r w:rsidRPr="001B6D88">
        <w:rPr>
          <w:rFonts w:ascii="Arial" w:hAnsi="Arial" w:cs="Arial"/>
          <w:sz w:val="20"/>
          <w:szCs w:val="20"/>
        </w:rPr>
        <w:t xml:space="preserve">This cannot be delivered by one agency alone, hence the need for the co-operation of agencies across a full range of disciplines. MAPPA thus consists of those agencies known as Responsible Authorities (Police, Probation Services and Prison Service), and Duty to Co-operate agencies such as National Health Service, Local Authorities, Youth Justice and Housing Providers. All agencies have a crucial role to play in the identification of resources and options available to secure the best outcomes for the management, resettlement and rehabilitation of those individuals identified within the MAPPA cohort. It is only by working together that we can seek to reduce the risk of harm to the public and reduce the number of future victims. </w:t>
      </w:r>
    </w:p>
    <w:p w14:paraId="439AE294" w14:textId="3E23952D" w:rsidR="001B6D88" w:rsidRPr="001B6D88" w:rsidRDefault="001B6D88" w:rsidP="001B6D88">
      <w:pPr>
        <w:rPr>
          <w:rFonts w:ascii="Arial" w:hAnsi="Arial" w:cs="Arial"/>
        </w:rPr>
      </w:pPr>
      <w:r w:rsidRPr="001B6D88">
        <w:rPr>
          <w:rFonts w:ascii="Arial" w:hAnsi="Arial" w:cs="Arial"/>
          <w:sz w:val="20"/>
          <w:szCs w:val="20"/>
        </w:rPr>
        <w:t>The West Mercia SMB meets quarterly to oversee the delivery of MAPPA across the area and ensure compliance with the National MAPPA Guidance. Membership of the SMB consist of senior representatives of the Responsible Authorities and Duty to Co-operate agencies. The work of the SMB is once again supported by Lay Advisers who have a key role in representing the local public. This vital community support and oversight was missing during the last year, though thankfully is now back in place providing a critical friend level of governance to the MAPPA process</w:t>
      </w:r>
      <w:r>
        <w:rPr>
          <w:rFonts w:ascii="Arial" w:hAnsi="Arial" w:cs="Arial"/>
          <w:sz w:val="20"/>
          <w:szCs w:val="20"/>
        </w:rPr>
        <w:t>.</w:t>
      </w:r>
    </w:p>
    <w:p w14:paraId="335A8022" w14:textId="77777777" w:rsidR="001B6D88" w:rsidRDefault="001B6D88" w:rsidP="00F525AD">
      <w:pPr>
        <w:rPr>
          <w:rFonts w:ascii="Arial" w:hAnsi="Arial" w:cs="Arial"/>
        </w:rPr>
      </w:pPr>
    </w:p>
    <w:p w14:paraId="09A5435C" w14:textId="27F31432" w:rsidR="00F525AD" w:rsidRPr="001B6D88" w:rsidRDefault="00F525AD" w:rsidP="00F525AD">
      <w:pPr>
        <w:rPr>
          <w:rFonts w:ascii="Arial" w:hAnsi="Arial" w:cs="Arial"/>
          <w:sz w:val="20"/>
          <w:szCs w:val="20"/>
        </w:rPr>
      </w:pPr>
      <w:r w:rsidRPr="001B6D88">
        <w:rPr>
          <w:rFonts w:ascii="Arial" w:hAnsi="Arial" w:cs="Arial"/>
          <w:sz w:val="20"/>
          <w:szCs w:val="20"/>
        </w:rPr>
        <w:t xml:space="preserve">This has been another busy year for all agencies involved in the MAPPA process and I would like to take this opportunity on behalf of the Strategic Management Board (SMB) to thanks all partner agencies for their contributions in addressing the complex needs of MAPPA offenders. </w:t>
      </w:r>
    </w:p>
    <w:p w14:paraId="2415D699" w14:textId="77777777" w:rsidR="00F525AD" w:rsidRPr="001B6D88" w:rsidRDefault="00F525AD" w:rsidP="00F525AD">
      <w:pPr>
        <w:rPr>
          <w:rFonts w:ascii="Arial" w:hAnsi="Arial" w:cs="Arial"/>
          <w:sz w:val="20"/>
          <w:szCs w:val="20"/>
        </w:rPr>
      </w:pPr>
      <w:r w:rsidRPr="001B6D88">
        <w:rPr>
          <w:rFonts w:ascii="Arial" w:hAnsi="Arial" w:cs="Arial"/>
          <w:sz w:val="20"/>
          <w:szCs w:val="20"/>
        </w:rPr>
        <w:t xml:space="preserve">It has been a year of consolidation as we have increased the number of MAPPA administrators within the unit, reviewed and assured ourselves that we have the most up to date details of our standing panel representation and Duty to Co-operate agencies at our SMB. We have also recruited two Lay advisors who are a welcome addition to the Board. </w:t>
      </w:r>
    </w:p>
    <w:p w14:paraId="74D66B91" w14:textId="5E89C163" w:rsidR="00F525AD" w:rsidRPr="001B6D88" w:rsidRDefault="00F525AD" w:rsidP="00F525AD">
      <w:pPr>
        <w:rPr>
          <w:rFonts w:ascii="Arial" w:hAnsi="Arial" w:cs="Arial"/>
          <w:sz w:val="20"/>
          <w:szCs w:val="20"/>
        </w:rPr>
      </w:pPr>
      <w:r w:rsidRPr="001B6D88">
        <w:rPr>
          <w:rFonts w:ascii="Arial" w:hAnsi="Arial" w:cs="Arial"/>
          <w:sz w:val="20"/>
          <w:szCs w:val="20"/>
        </w:rPr>
        <w:t xml:space="preserve">Across West Mercia Attendance </w:t>
      </w:r>
      <w:r w:rsidR="001B6D88">
        <w:rPr>
          <w:rFonts w:ascii="Arial" w:hAnsi="Arial" w:cs="Arial"/>
          <w:sz w:val="20"/>
          <w:szCs w:val="20"/>
        </w:rPr>
        <w:t xml:space="preserve">at MAPPA panels </w:t>
      </w:r>
      <w:r w:rsidRPr="001B6D88">
        <w:rPr>
          <w:rFonts w:ascii="Arial" w:hAnsi="Arial" w:cs="Arial"/>
          <w:sz w:val="20"/>
          <w:szCs w:val="20"/>
        </w:rPr>
        <w:t xml:space="preserve">has improved as we have operated hybrid panel meetings with increasing numbers attending in person. </w:t>
      </w:r>
    </w:p>
    <w:p w14:paraId="331DBA7F" w14:textId="77777777" w:rsidR="00F525AD" w:rsidRPr="001B6D88" w:rsidRDefault="00F525AD" w:rsidP="00F525AD">
      <w:pPr>
        <w:rPr>
          <w:rFonts w:ascii="Arial" w:hAnsi="Arial" w:cs="Arial"/>
          <w:b/>
          <w:bCs/>
          <w:sz w:val="20"/>
          <w:szCs w:val="20"/>
        </w:rPr>
      </w:pPr>
    </w:p>
    <w:p w14:paraId="60E99E86" w14:textId="1688654B" w:rsidR="00F525AD" w:rsidRPr="001B6D88" w:rsidRDefault="00F525AD" w:rsidP="00F525AD">
      <w:pPr>
        <w:rPr>
          <w:rFonts w:ascii="Arial" w:hAnsi="Arial" w:cs="Arial"/>
          <w:sz w:val="20"/>
          <w:szCs w:val="20"/>
        </w:rPr>
      </w:pPr>
      <w:r w:rsidRPr="001B6D88">
        <w:rPr>
          <w:rFonts w:ascii="Arial" w:hAnsi="Arial" w:cs="Arial"/>
          <w:b/>
          <w:bCs/>
          <w:sz w:val="20"/>
          <w:szCs w:val="20"/>
        </w:rPr>
        <w:t>ViSOR:</w:t>
      </w:r>
      <w:r w:rsidRPr="001B6D88">
        <w:rPr>
          <w:rFonts w:ascii="Arial" w:hAnsi="Arial" w:cs="Arial"/>
          <w:sz w:val="20"/>
          <w:szCs w:val="20"/>
        </w:rPr>
        <w:t xml:space="preserve"> There is a national HMPPS Policy Framework to make ViSOR a business-as-Usual IT system for both Prison and Probation.  ViSOR is a multi-agency IT system which allows for effective information sharing across Police, Probation and Prison service nationally.  Use has increased significantly in this reporting period within the two Probation PDUs and continues to be driven by the national project.  Members of the West Mercia MAPPA team are actively involved in the regional project and are assisting to write guidance documents for front end users.</w:t>
      </w:r>
    </w:p>
    <w:p w14:paraId="09A2A8D8" w14:textId="77777777" w:rsidR="00F525AD" w:rsidRPr="001B6D88" w:rsidRDefault="00F525AD" w:rsidP="00F525AD">
      <w:pPr>
        <w:rPr>
          <w:rFonts w:ascii="Arial" w:hAnsi="Arial" w:cs="Arial"/>
          <w:sz w:val="20"/>
          <w:szCs w:val="20"/>
        </w:rPr>
      </w:pPr>
    </w:p>
    <w:p w14:paraId="7D735677" w14:textId="77777777" w:rsidR="00F525AD" w:rsidRPr="001B6D88" w:rsidRDefault="00F525AD" w:rsidP="00F525AD">
      <w:pPr>
        <w:rPr>
          <w:rFonts w:ascii="Arial" w:hAnsi="Arial" w:cs="Arial"/>
          <w:sz w:val="20"/>
          <w:szCs w:val="20"/>
        </w:rPr>
      </w:pPr>
      <w:r w:rsidRPr="001B6D88">
        <w:rPr>
          <w:rFonts w:ascii="Arial" w:hAnsi="Arial" w:cs="Arial"/>
          <w:b/>
          <w:bCs/>
          <w:sz w:val="20"/>
          <w:szCs w:val="20"/>
        </w:rPr>
        <w:t>Training &amp; Development:</w:t>
      </w:r>
      <w:r w:rsidRPr="001B6D88">
        <w:rPr>
          <w:rFonts w:ascii="Arial" w:hAnsi="Arial" w:cs="Arial"/>
          <w:sz w:val="20"/>
          <w:szCs w:val="20"/>
        </w:rPr>
        <w:t xml:space="preserve"> The MAPPA Team designed and issued an online Basic Awareness presentation for use by duty to cooperate (DTC) partners to increase basic knowledge of MAPPA processes amongst partners.  This has meant that Basic Awareness training can be delivered to a wider DTC audience in a timely manner.</w:t>
      </w:r>
    </w:p>
    <w:p w14:paraId="4CC900A0" w14:textId="77777777" w:rsidR="00F525AD" w:rsidRPr="001B6D88" w:rsidRDefault="00F525AD" w:rsidP="00F525AD">
      <w:pPr>
        <w:rPr>
          <w:rFonts w:ascii="Arial" w:hAnsi="Arial" w:cs="Arial"/>
          <w:sz w:val="20"/>
          <w:szCs w:val="20"/>
        </w:rPr>
      </w:pPr>
      <w:r w:rsidRPr="001B6D88">
        <w:rPr>
          <w:rFonts w:ascii="Arial" w:hAnsi="Arial" w:cs="Arial"/>
          <w:sz w:val="20"/>
          <w:szCs w:val="20"/>
        </w:rPr>
        <w:t>In November 2022, the MAPPA Coordinators facilitated a full day of training in the lecture theatre at Police HQ for existing MAPPA practitioners across all MAPPA agencies.  There were over 100 attendees, and the event was focussed upon striving for excellence in MAPPA practices.  This included successful information sharing at MAPPA panels, developing knowledge of risk assessment/management of MAPPA nominals, disclosure principles, examining lessons learned from serious case reviews, amongst many other topics.</w:t>
      </w:r>
    </w:p>
    <w:p w14:paraId="7CFF2AD3" w14:textId="77777777" w:rsidR="001B6D88" w:rsidRDefault="001B6D88" w:rsidP="00F525AD">
      <w:pPr>
        <w:rPr>
          <w:rFonts w:ascii="Arial" w:hAnsi="Arial" w:cs="Arial"/>
          <w:sz w:val="20"/>
          <w:szCs w:val="20"/>
        </w:rPr>
      </w:pPr>
    </w:p>
    <w:p w14:paraId="5629DB75" w14:textId="65CCCDC7" w:rsidR="00F525AD" w:rsidRPr="001B6D88" w:rsidRDefault="00F525AD" w:rsidP="00F525AD">
      <w:pPr>
        <w:rPr>
          <w:rFonts w:ascii="Arial" w:hAnsi="Arial" w:cs="Arial"/>
          <w:sz w:val="20"/>
          <w:szCs w:val="20"/>
        </w:rPr>
      </w:pPr>
      <w:r w:rsidRPr="001B6D88">
        <w:rPr>
          <w:rFonts w:ascii="Arial" w:hAnsi="Arial" w:cs="Arial"/>
          <w:sz w:val="20"/>
          <w:szCs w:val="20"/>
        </w:rPr>
        <w:t>This year changes to the Domestic Abuse Act of 2021 has brought Domestic Abuse related offences such as Stalking and Harassment and Strangulation has meant that more perpetrators can now be managed under MAPPA. This has greatly helped with ensuring that Domestic Abuse perpetrators are not only brought to justice but are managed over a long term to greater reduce the risk of reoffending and harm caused.</w:t>
      </w:r>
    </w:p>
    <w:p w14:paraId="73D83E68" w14:textId="77777777" w:rsidR="001B6D88" w:rsidRDefault="001B6D88" w:rsidP="00F525AD">
      <w:pPr>
        <w:rPr>
          <w:rFonts w:ascii="Arial" w:hAnsi="Arial" w:cs="Arial"/>
          <w:sz w:val="20"/>
          <w:szCs w:val="20"/>
        </w:rPr>
      </w:pPr>
    </w:p>
    <w:p w14:paraId="1ED4EF79" w14:textId="49DF146A" w:rsidR="00F525AD" w:rsidRDefault="00F525AD" w:rsidP="00F525AD">
      <w:pPr>
        <w:rPr>
          <w:rFonts w:ascii="Arial" w:hAnsi="Arial" w:cs="Arial"/>
          <w:sz w:val="20"/>
          <w:szCs w:val="20"/>
        </w:rPr>
      </w:pPr>
      <w:r w:rsidRPr="001B6D88">
        <w:rPr>
          <w:rFonts w:ascii="Arial" w:hAnsi="Arial" w:cs="Arial"/>
          <w:sz w:val="20"/>
          <w:szCs w:val="20"/>
        </w:rPr>
        <w:t>This year has also seen the introduction of a new category of MAPPA nominals. Following a review into the Fishmonger Hall atrocity, the introduction of “Category 4” now means that any individual either convicted of, or suspected of, Terrorism or Counter Terrorism behaviours can now be managed within MAPPA and specialist resources utilised to manage the risks of harm posed.</w:t>
      </w:r>
    </w:p>
    <w:p w14:paraId="0E1F116F" w14:textId="58EC8A84" w:rsidR="001B6D88" w:rsidRDefault="001B6D88" w:rsidP="00F525AD">
      <w:pPr>
        <w:rPr>
          <w:rFonts w:ascii="Arial" w:hAnsi="Arial" w:cs="Arial"/>
          <w:sz w:val="20"/>
          <w:szCs w:val="20"/>
        </w:rPr>
      </w:pPr>
    </w:p>
    <w:p w14:paraId="502E578E" w14:textId="77777777" w:rsidR="001B6D88" w:rsidRPr="001B6D88" w:rsidRDefault="001B6D88" w:rsidP="001B6D88">
      <w:pPr>
        <w:spacing w:after="240" w:line="240" w:lineRule="exact"/>
        <w:rPr>
          <w:rFonts w:ascii="Arial" w:hAnsi="Arial" w:cs="Arial"/>
          <w:sz w:val="20"/>
          <w:szCs w:val="20"/>
        </w:rPr>
      </w:pPr>
      <w:r w:rsidRPr="001B6D88">
        <w:rPr>
          <w:rFonts w:ascii="Arial" w:hAnsi="Arial" w:cs="Arial"/>
          <w:sz w:val="20"/>
          <w:szCs w:val="20"/>
        </w:rPr>
        <w:t>West Mercia Police have worked hard in the last 12 months in ensuring that appropriate investigative skills training remains in place for our Police Staff Offender Managers to equip them effectively to robustly manage those subject of MAPPA. This training has extended to the continuation of recruitment and training of specialist Sex Offender managers to cater for the gradual annual increase of MAPPA nominals coming onto the cohort. Whilst ensuring that the ratio of Offender Managers to offenders remains a challenge, it is of utmost importance to ensure that challenge is met, and effective ratio arrangements remain in place.</w:t>
      </w:r>
    </w:p>
    <w:p w14:paraId="1CE1B0AA" w14:textId="77777777" w:rsidR="001B6D88" w:rsidRPr="001B6D88" w:rsidRDefault="001B6D88" w:rsidP="001B6D88">
      <w:pPr>
        <w:spacing w:after="240" w:line="240" w:lineRule="exact"/>
        <w:rPr>
          <w:rFonts w:ascii="Arial" w:hAnsi="Arial" w:cs="Arial"/>
          <w:sz w:val="20"/>
          <w:szCs w:val="20"/>
        </w:rPr>
      </w:pPr>
      <w:r w:rsidRPr="001B6D88">
        <w:rPr>
          <w:rFonts w:ascii="Arial" w:hAnsi="Arial" w:cs="Arial"/>
          <w:sz w:val="20"/>
          <w:szCs w:val="20"/>
        </w:rPr>
        <w:t>Two serious case reviews during 2022 and 2023 reinforce the critical importance of robust offender management arrangements. Such incidents always invoke a requirement to review our internal practices to ensure that any lessons are learned for the future, enabling management arrangements to focus on the proactive management of risk. An internally commissioned review of MAPPA Level 1 processes further serves to reinforce the commitment to stringent and effective partnership working practices.</w:t>
      </w:r>
    </w:p>
    <w:p w14:paraId="19432794" w14:textId="77777777" w:rsidR="001B6D88" w:rsidRPr="001B6D88" w:rsidRDefault="001B6D88" w:rsidP="001B6D88">
      <w:pPr>
        <w:spacing w:after="240" w:line="240" w:lineRule="exact"/>
        <w:rPr>
          <w:rFonts w:ascii="Arial" w:hAnsi="Arial" w:cs="Arial"/>
          <w:sz w:val="20"/>
          <w:szCs w:val="20"/>
        </w:rPr>
      </w:pPr>
      <w:r w:rsidRPr="001B6D88">
        <w:rPr>
          <w:rFonts w:ascii="Arial" w:hAnsi="Arial" w:cs="Arial"/>
          <w:sz w:val="20"/>
          <w:szCs w:val="20"/>
        </w:rPr>
        <w:t>Year 2023/24 promises to be a year where previous learning can be put into practice to improve offender management arrangements where required, and build upon strong partnership relationships in existence.</w:t>
      </w:r>
    </w:p>
    <w:p w14:paraId="44FBABB3" w14:textId="40341B98" w:rsidR="00F525AD" w:rsidRDefault="00F525AD" w:rsidP="00F525AD">
      <w:pPr>
        <w:rPr>
          <w:rFonts w:ascii="Arial" w:hAnsi="Arial" w:cs="Arial"/>
        </w:rPr>
      </w:pPr>
      <w:r w:rsidRPr="001B6D88">
        <w:rPr>
          <w:rFonts w:ascii="Arial" w:hAnsi="Arial" w:cs="Arial"/>
          <w:sz w:val="20"/>
          <w:szCs w:val="20"/>
        </w:rPr>
        <w:t>West Mercia SMB is committed to the ongoing development of practice, sharing learning and developments from serious case reviews, serious further offences regional and national inspections, so that we do our utmost</w:t>
      </w:r>
      <w:r>
        <w:rPr>
          <w:rFonts w:ascii="Arial" w:hAnsi="Arial" w:cs="Arial"/>
        </w:rPr>
        <w:t xml:space="preserve"> </w:t>
      </w:r>
      <w:r w:rsidRPr="001B6D88">
        <w:rPr>
          <w:rFonts w:ascii="Arial" w:hAnsi="Arial" w:cs="Arial"/>
          <w:sz w:val="20"/>
          <w:szCs w:val="20"/>
        </w:rPr>
        <w:t>best to keep the communities of West Mercia safe.</w:t>
      </w:r>
      <w:r>
        <w:rPr>
          <w:rFonts w:ascii="Arial" w:hAnsi="Arial" w:cs="Arial"/>
        </w:rPr>
        <w:t xml:space="preserve"> </w:t>
      </w:r>
    </w:p>
    <w:p w14:paraId="2A1367BE" w14:textId="457FAF7A" w:rsidR="00F525AD" w:rsidRDefault="00F525AD" w:rsidP="00F525AD">
      <w:pPr>
        <w:rPr>
          <w:rFonts w:ascii="Arial" w:hAnsi="Arial" w:cs="Arial"/>
        </w:rPr>
      </w:pPr>
    </w:p>
    <w:p w14:paraId="6B47882B" w14:textId="7CBB1494" w:rsidR="00332EE6" w:rsidRPr="005C6F05" w:rsidRDefault="005C6F05" w:rsidP="005C6F05">
      <w:pPr>
        <w:rPr>
          <w:rFonts w:ascii="Arial" w:hAnsi="Arial" w:cs="Arial"/>
        </w:rPr>
      </w:pPr>
      <w:r>
        <w:rPr>
          <w:noProof/>
        </w:rPr>
        <w:drawing>
          <wp:inline distT="0" distB="0" distL="0" distR="0" wp14:anchorId="4DE79277" wp14:editId="7323A922">
            <wp:extent cx="3093720" cy="3428365"/>
            <wp:effectExtent l="0" t="0" r="0" b="635"/>
            <wp:docPr id="5" name="Picture 5" descr="Picture of George Branch - Head of West Mercia MAPPA Strategic Management Board" title="George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George Branch - Head of West Mercia MAPPA Strategic Management Board" title="George Branch"/>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093720" cy="3428365"/>
                    </a:xfrm>
                    <a:prstGeom prst="rect">
                      <a:avLst/>
                    </a:prstGeom>
                  </pic:spPr>
                </pic:pic>
              </a:graphicData>
            </a:graphic>
          </wp:inline>
        </w:drawing>
      </w:r>
    </w:p>
    <w:p w14:paraId="323FC18C" w14:textId="77777777" w:rsidR="00332EE6" w:rsidRPr="006A45B8" w:rsidRDefault="00332EE6" w:rsidP="00332EE6">
      <w:pPr>
        <w:pStyle w:val="MAPPA-Bodytext"/>
        <w:rPr>
          <w:lang w:val="en-GB"/>
        </w:rPr>
      </w:pP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5ED5C7F1" w:rsidR="00332EE6" w:rsidRDefault="005C6F05" w:rsidP="00332EE6">
      <w:pPr>
        <w:pStyle w:val="Default"/>
        <w:rPr>
          <w:rFonts w:ascii="Arial" w:hAnsi="Arial" w:cs="Arial"/>
          <w:color w:val="auto"/>
          <w:sz w:val="20"/>
          <w:szCs w:val="20"/>
        </w:rPr>
      </w:pPr>
      <w:r w:rsidRPr="005C6F05">
        <w:rPr>
          <w:rFonts w:ascii="Arial" w:hAnsi="Arial" w:cs="Arial"/>
          <w:color w:val="auto"/>
          <w:sz w:val="20"/>
          <w:szCs w:val="20"/>
        </w:rPr>
        <w:t>George Branch</w:t>
      </w:r>
    </w:p>
    <w:p w14:paraId="4A6450A0" w14:textId="594A9B4B" w:rsidR="005C6F05" w:rsidRDefault="005C6F05" w:rsidP="00332EE6">
      <w:pPr>
        <w:pStyle w:val="Default"/>
        <w:rPr>
          <w:rFonts w:ascii="Arial" w:hAnsi="Arial" w:cs="Arial"/>
          <w:color w:val="auto"/>
          <w:sz w:val="20"/>
          <w:szCs w:val="20"/>
        </w:rPr>
      </w:pPr>
      <w:r>
        <w:rPr>
          <w:rFonts w:ascii="Arial" w:hAnsi="Arial" w:cs="Arial"/>
          <w:color w:val="auto"/>
          <w:sz w:val="20"/>
          <w:szCs w:val="20"/>
        </w:rPr>
        <w:t>SMB Chair</w:t>
      </w:r>
    </w:p>
    <w:p w14:paraId="1E347526" w14:textId="5FBC104A" w:rsidR="005C6F05" w:rsidRDefault="005C6F05" w:rsidP="00332EE6">
      <w:pPr>
        <w:pStyle w:val="Default"/>
        <w:rPr>
          <w:rFonts w:ascii="Arial" w:hAnsi="Arial" w:cs="Arial"/>
          <w:color w:val="auto"/>
          <w:sz w:val="20"/>
          <w:szCs w:val="20"/>
        </w:rPr>
      </w:pPr>
      <w:r>
        <w:rPr>
          <w:rFonts w:ascii="Arial" w:hAnsi="Arial" w:cs="Arial"/>
          <w:color w:val="auto"/>
          <w:sz w:val="20"/>
          <w:szCs w:val="20"/>
        </w:rPr>
        <w:t>Head of Service</w:t>
      </w:r>
    </w:p>
    <w:p w14:paraId="4CC9D4CD" w14:textId="068F10A0" w:rsidR="005C6F05" w:rsidRDefault="005C6F05" w:rsidP="00332EE6">
      <w:pPr>
        <w:pStyle w:val="Default"/>
        <w:rPr>
          <w:rFonts w:ascii="Arial" w:hAnsi="Arial" w:cs="Arial"/>
          <w:color w:val="auto"/>
          <w:sz w:val="20"/>
          <w:szCs w:val="20"/>
        </w:rPr>
      </w:pPr>
      <w:r>
        <w:rPr>
          <w:rFonts w:ascii="Arial" w:hAnsi="Arial" w:cs="Arial"/>
          <w:color w:val="auto"/>
          <w:sz w:val="20"/>
          <w:szCs w:val="20"/>
        </w:rPr>
        <w:t>Herefordshire, Shropshire, and Telford Probation</w:t>
      </w:r>
    </w:p>
    <w:p w14:paraId="397D8A6A" w14:textId="2033D881" w:rsidR="005C6F05" w:rsidRDefault="005C6F05" w:rsidP="00332EE6">
      <w:pPr>
        <w:pStyle w:val="Default"/>
        <w:rPr>
          <w:rFonts w:ascii="Arial" w:hAnsi="Arial" w:cs="Arial"/>
          <w:color w:val="auto"/>
          <w:sz w:val="20"/>
          <w:szCs w:val="20"/>
        </w:rPr>
      </w:pPr>
    </w:p>
    <w:p w14:paraId="00059818" w14:textId="344B23EA" w:rsidR="005C6F05" w:rsidRDefault="005C6F05" w:rsidP="00332EE6">
      <w:pPr>
        <w:pStyle w:val="Default"/>
        <w:rPr>
          <w:rFonts w:ascii="Arial" w:hAnsi="Arial" w:cs="Arial"/>
          <w:color w:val="auto"/>
          <w:sz w:val="20"/>
          <w:szCs w:val="20"/>
        </w:rPr>
      </w:pPr>
      <w:r>
        <w:rPr>
          <w:rFonts w:ascii="Arial" w:hAnsi="Arial" w:cs="Arial"/>
          <w:color w:val="auto"/>
          <w:sz w:val="20"/>
          <w:szCs w:val="20"/>
        </w:rPr>
        <w:t>DCI Edward Slough</w:t>
      </w:r>
    </w:p>
    <w:p w14:paraId="41AD8A9F" w14:textId="313C07A6" w:rsidR="005C6F05" w:rsidRDefault="005C6F05" w:rsidP="00332EE6">
      <w:pPr>
        <w:pStyle w:val="Default"/>
        <w:rPr>
          <w:rFonts w:ascii="Arial" w:hAnsi="Arial" w:cs="Arial"/>
          <w:color w:val="auto"/>
          <w:sz w:val="20"/>
          <w:szCs w:val="20"/>
        </w:rPr>
      </w:pPr>
      <w:r>
        <w:rPr>
          <w:rFonts w:ascii="Arial" w:hAnsi="Arial" w:cs="Arial"/>
          <w:color w:val="auto"/>
          <w:sz w:val="20"/>
          <w:szCs w:val="20"/>
        </w:rPr>
        <w:t>DCI – Protecting Vulnerable People</w:t>
      </w:r>
    </w:p>
    <w:p w14:paraId="66FE42F8" w14:textId="02D427F6" w:rsidR="005C6F05" w:rsidRPr="005C6F05" w:rsidRDefault="005C6F05" w:rsidP="00332EE6">
      <w:pPr>
        <w:pStyle w:val="Default"/>
        <w:rPr>
          <w:rFonts w:ascii="Arial" w:hAnsi="Arial" w:cs="Arial"/>
          <w:color w:val="auto"/>
          <w:sz w:val="20"/>
          <w:szCs w:val="20"/>
        </w:rPr>
      </w:pPr>
      <w:r>
        <w:rPr>
          <w:rFonts w:ascii="Arial" w:hAnsi="Arial" w:cs="Arial"/>
          <w:color w:val="auto"/>
          <w:sz w:val="20"/>
          <w:szCs w:val="20"/>
        </w:rPr>
        <w:t>West Mercia Police</w:t>
      </w: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8"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9"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20"/>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5C6F05" w14:paraId="24F5454D" w14:textId="77777777" w:rsidTr="009D0765">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5C6F05" w:rsidRPr="00523CF4" w:rsidRDefault="005C6F05" w:rsidP="005C6F05">
            <w:pPr>
              <w:pStyle w:val="MAPPA-Tabletext"/>
              <w:rPr>
                <w:b w:val="0"/>
                <w:bCs w:val="0"/>
                <w:sz w:val="24"/>
                <w:szCs w:val="24"/>
                <w:lang w:val="en-GB"/>
              </w:rPr>
            </w:pPr>
            <w:r w:rsidRPr="00523CF4">
              <w:rPr>
                <w:b w:val="0"/>
                <w:bCs w:val="0"/>
                <w:sz w:val="24"/>
                <w:szCs w:val="24"/>
                <w:lang w:val="en-GB"/>
              </w:rPr>
              <w:t>Level 1</w:t>
            </w:r>
          </w:p>
        </w:tc>
        <w:tc>
          <w:tcPr>
            <w:tcW w:w="2185" w:type="dxa"/>
            <w:shd w:val="clear" w:color="auto" w:fill="auto"/>
          </w:tcPr>
          <w:p w14:paraId="58BE43B8" w14:textId="6D79CB7A"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1604</w:t>
            </w:r>
          </w:p>
        </w:tc>
        <w:tc>
          <w:tcPr>
            <w:tcW w:w="2186" w:type="dxa"/>
            <w:shd w:val="clear" w:color="auto" w:fill="auto"/>
          </w:tcPr>
          <w:p w14:paraId="1638E0FC" w14:textId="747FF503"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284</w:t>
            </w:r>
          </w:p>
        </w:tc>
        <w:tc>
          <w:tcPr>
            <w:tcW w:w="2186" w:type="dxa"/>
            <w:shd w:val="clear" w:color="auto" w:fill="auto"/>
          </w:tcPr>
          <w:p w14:paraId="1F1BCFAF" w14:textId="6BE7714B"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t>-</w:t>
            </w:r>
          </w:p>
        </w:tc>
        <w:tc>
          <w:tcPr>
            <w:tcW w:w="2186" w:type="dxa"/>
            <w:shd w:val="clear" w:color="auto" w:fill="auto"/>
          </w:tcPr>
          <w:p w14:paraId="08FB1F87" w14:textId="28F2382B"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1888</w:t>
            </w:r>
          </w:p>
        </w:tc>
      </w:tr>
      <w:tr w:rsidR="005C6F05" w14:paraId="26CC6737" w14:textId="77777777" w:rsidTr="009D0765">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5C6F05" w:rsidRPr="00523CF4" w:rsidRDefault="005C6F05" w:rsidP="005C6F05">
            <w:pPr>
              <w:pStyle w:val="MAPPA-Tabletext"/>
              <w:rPr>
                <w:b w:val="0"/>
                <w:bCs w:val="0"/>
                <w:sz w:val="24"/>
                <w:szCs w:val="24"/>
                <w:lang w:val="en-GB"/>
              </w:rPr>
            </w:pPr>
            <w:r w:rsidRPr="00523CF4">
              <w:rPr>
                <w:b w:val="0"/>
                <w:bCs w:val="0"/>
                <w:sz w:val="24"/>
                <w:szCs w:val="24"/>
                <w:lang w:val="en-GB"/>
              </w:rPr>
              <w:t>Level 2</w:t>
            </w:r>
          </w:p>
        </w:tc>
        <w:tc>
          <w:tcPr>
            <w:tcW w:w="2185" w:type="dxa"/>
            <w:shd w:val="clear" w:color="auto" w:fill="auto"/>
          </w:tcPr>
          <w:p w14:paraId="23BFD270" w14:textId="6F618F14"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7</w:t>
            </w:r>
          </w:p>
        </w:tc>
        <w:tc>
          <w:tcPr>
            <w:tcW w:w="2186" w:type="dxa"/>
            <w:shd w:val="clear" w:color="auto" w:fill="auto"/>
          </w:tcPr>
          <w:p w14:paraId="10F8D0CE" w14:textId="0CBADAB8"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shd w:val="clear" w:color="auto" w:fill="auto"/>
          </w:tcPr>
          <w:p w14:paraId="346F3891" w14:textId="77658069"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w:t>
            </w:r>
          </w:p>
        </w:tc>
        <w:tc>
          <w:tcPr>
            <w:tcW w:w="2186" w:type="dxa"/>
            <w:shd w:val="clear" w:color="auto" w:fill="auto"/>
          </w:tcPr>
          <w:p w14:paraId="29D9E254" w14:textId="0BFC257F"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15</w:t>
            </w:r>
          </w:p>
        </w:tc>
      </w:tr>
      <w:tr w:rsidR="005C6F05" w14:paraId="0E7972C5" w14:textId="77777777" w:rsidTr="009D0765">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5C6F05" w:rsidRPr="00523CF4" w:rsidRDefault="005C6F05" w:rsidP="005C6F05">
            <w:pPr>
              <w:pStyle w:val="MAPPA-Tabletext"/>
              <w:rPr>
                <w:b w:val="0"/>
                <w:bCs w:val="0"/>
                <w:sz w:val="24"/>
                <w:szCs w:val="24"/>
                <w:lang w:val="en-GB"/>
              </w:rPr>
            </w:pPr>
            <w:r w:rsidRPr="00523CF4">
              <w:rPr>
                <w:b w:val="0"/>
                <w:bCs w:val="0"/>
                <w:sz w:val="24"/>
                <w:szCs w:val="24"/>
                <w:lang w:val="en-GB"/>
              </w:rPr>
              <w:t>Level 3</w:t>
            </w:r>
          </w:p>
        </w:tc>
        <w:tc>
          <w:tcPr>
            <w:tcW w:w="2185" w:type="dxa"/>
            <w:shd w:val="clear" w:color="auto" w:fill="auto"/>
          </w:tcPr>
          <w:p w14:paraId="48775E9A" w14:textId="63373B99"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shd w:val="clear" w:color="auto" w:fill="auto"/>
          </w:tcPr>
          <w:p w14:paraId="26751848" w14:textId="58F63AD7"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shd w:val="clear" w:color="auto" w:fill="auto"/>
          </w:tcPr>
          <w:p w14:paraId="75314FEE" w14:textId="793C3746"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shd w:val="clear" w:color="auto" w:fill="auto"/>
          </w:tcPr>
          <w:p w14:paraId="7FD44C20" w14:textId="16216B39"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r>
      <w:tr w:rsidR="005C6F05" w14:paraId="156A4569" w14:textId="77777777" w:rsidTr="009D0765">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5C6F05" w:rsidRPr="00523CF4" w:rsidRDefault="005C6F05" w:rsidP="005C6F05">
            <w:pPr>
              <w:pStyle w:val="MAPPA-Tabletext"/>
              <w:rPr>
                <w:b w:val="0"/>
                <w:bCs w:val="0"/>
                <w:sz w:val="24"/>
                <w:szCs w:val="24"/>
                <w:lang w:val="en-GB"/>
              </w:rPr>
            </w:pPr>
            <w:r w:rsidRPr="00523CF4">
              <w:rPr>
                <w:b w:val="0"/>
                <w:bCs w:val="0"/>
                <w:sz w:val="24"/>
                <w:szCs w:val="24"/>
                <w:lang w:val="en-GB"/>
              </w:rPr>
              <w:t>Total</w:t>
            </w:r>
          </w:p>
        </w:tc>
        <w:tc>
          <w:tcPr>
            <w:tcW w:w="2185" w:type="dxa"/>
            <w:shd w:val="clear" w:color="auto" w:fill="auto"/>
          </w:tcPr>
          <w:p w14:paraId="5425DA3C" w14:textId="1B1B27AD"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1611</w:t>
            </w:r>
          </w:p>
        </w:tc>
        <w:tc>
          <w:tcPr>
            <w:tcW w:w="2186" w:type="dxa"/>
            <w:shd w:val="clear" w:color="auto" w:fill="auto"/>
          </w:tcPr>
          <w:p w14:paraId="4B320A3C" w14:textId="7BCDD3A3"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287</w:t>
            </w:r>
          </w:p>
        </w:tc>
        <w:tc>
          <w:tcPr>
            <w:tcW w:w="2186" w:type="dxa"/>
            <w:shd w:val="clear" w:color="auto" w:fill="auto"/>
          </w:tcPr>
          <w:p w14:paraId="59BF82DA" w14:textId="223D1279"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w:t>
            </w:r>
          </w:p>
        </w:tc>
        <w:tc>
          <w:tcPr>
            <w:tcW w:w="2186" w:type="dxa"/>
            <w:shd w:val="clear" w:color="auto" w:fill="auto"/>
          </w:tcPr>
          <w:p w14:paraId="230BC3FB" w14:textId="1BFA61FC"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1903</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5C6F05" w14:paraId="291342B9" w14:textId="77777777" w:rsidTr="007F4B23">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5C6F05" w:rsidRPr="00523CF4" w:rsidRDefault="005C6F05" w:rsidP="005C6F05">
            <w:pPr>
              <w:pStyle w:val="MAPPA-Tabletext"/>
              <w:rPr>
                <w:b w:val="0"/>
                <w:bCs w:val="0"/>
                <w:sz w:val="24"/>
                <w:szCs w:val="24"/>
                <w:lang w:val="en-GB"/>
              </w:rPr>
            </w:pPr>
            <w:r w:rsidRPr="00523CF4">
              <w:rPr>
                <w:b w:val="0"/>
                <w:bCs w:val="0"/>
                <w:sz w:val="24"/>
                <w:szCs w:val="24"/>
                <w:lang w:val="en-GB"/>
              </w:rPr>
              <w:t>Level 2</w:t>
            </w:r>
          </w:p>
        </w:tc>
        <w:tc>
          <w:tcPr>
            <w:tcW w:w="2185" w:type="dxa"/>
            <w:shd w:val="clear" w:color="auto" w:fill="auto"/>
          </w:tcPr>
          <w:p w14:paraId="1F693B88" w14:textId="4A09B90A"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20</w:t>
            </w:r>
          </w:p>
        </w:tc>
        <w:tc>
          <w:tcPr>
            <w:tcW w:w="2186" w:type="dxa"/>
            <w:shd w:val="clear" w:color="auto" w:fill="auto"/>
          </w:tcPr>
          <w:p w14:paraId="231D96FE" w14:textId="720C82EE"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18</w:t>
            </w:r>
          </w:p>
        </w:tc>
        <w:tc>
          <w:tcPr>
            <w:tcW w:w="2186" w:type="dxa"/>
            <w:shd w:val="clear" w:color="auto" w:fill="auto"/>
          </w:tcPr>
          <w:p w14:paraId="413645CC" w14:textId="6507DD8B"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27</w:t>
            </w:r>
          </w:p>
        </w:tc>
        <w:tc>
          <w:tcPr>
            <w:tcW w:w="2186" w:type="dxa"/>
            <w:shd w:val="clear" w:color="auto" w:fill="auto"/>
          </w:tcPr>
          <w:p w14:paraId="5A206D70" w14:textId="79CB0BB6"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65</w:t>
            </w:r>
          </w:p>
        </w:tc>
      </w:tr>
      <w:tr w:rsidR="005C6F05" w14:paraId="77FC9741" w14:textId="77777777" w:rsidTr="007F4B23">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5C6F05" w:rsidRPr="00523CF4" w:rsidRDefault="005C6F05" w:rsidP="005C6F05">
            <w:pPr>
              <w:pStyle w:val="MAPPA-Tabletext"/>
              <w:rPr>
                <w:b w:val="0"/>
                <w:bCs w:val="0"/>
                <w:sz w:val="24"/>
                <w:szCs w:val="24"/>
                <w:lang w:val="en-GB"/>
              </w:rPr>
            </w:pPr>
            <w:r w:rsidRPr="00523CF4">
              <w:rPr>
                <w:b w:val="0"/>
                <w:bCs w:val="0"/>
                <w:sz w:val="24"/>
                <w:szCs w:val="24"/>
                <w:lang w:val="en-GB"/>
              </w:rPr>
              <w:t>Level 3</w:t>
            </w:r>
          </w:p>
        </w:tc>
        <w:tc>
          <w:tcPr>
            <w:tcW w:w="2185" w:type="dxa"/>
            <w:shd w:val="clear" w:color="auto" w:fill="auto"/>
          </w:tcPr>
          <w:p w14:paraId="3001AA60" w14:textId="7D8D4CBC"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w:t>
            </w:r>
          </w:p>
        </w:tc>
        <w:tc>
          <w:tcPr>
            <w:tcW w:w="2186" w:type="dxa"/>
            <w:shd w:val="clear" w:color="auto" w:fill="auto"/>
          </w:tcPr>
          <w:p w14:paraId="4AF1F0B4" w14:textId="30C5BFCF"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shd w:val="clear" w:color="auto" w:fill="auto"/>
          </w:tcPr>
          <w:p w14:paraId="3EABFC56" w14:textId="2D5C3740"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shd w:val="clear" w:color="auto" w:fill="auto"/>
          </w:tcPr>
          <w:p w14:paraId="66FC4C00" w14:textId="45C05DED"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9</w:t>
            </w:r>
          </w:p>
        </w:tc>
      </w:tr>
      <w:tr w:rsidR="005C6F05" w14:paraId="7E12FF20" w14:textId="77777777" w:rsidTr="007F4B23">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5C6F05" w:rsidRPr="00523CF4" w:rsidRDefault="005C6F05" w:rsidP="005C6F05">
            <w:pPr>
              <w:pStyle w:val="MAPPA-Tabletext"/>
              <w:rPr>
                <w:b w:val="0"/>
                <w:bCs w:val="0"/>
                <w:sz w:val="24"/>
                <w:szCs w:val="24"/>
                <w:lang w:val="en-GB"/>
              </w:rPr>
            </w:pPr>
            <w:r w:rsidRPr="00523CF4">
              <w:rPr>
                <w:b w:val="0"/>
                <w:bCs w:val="0"/>
                <w:sz w:val="24"/>
                <w:szCs w:val="24"/>
                <w:lang w:val="en-GB"/>
              </w:rPr>
              <w:t>Total</w:t>
            </w:r>
          </w:p>
        </w:tc>
        <w:tc>
          <w:tcPr>
            <w:tcW w:w="2185" w:type="dxa"/>
            <w:shd w:val="clear" w:color="auto" w:fill="auto"/>
          </w:tcPr>
          <w:p w14:paraId="2B2248EB" w14:textId="7FE03877"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26</w:t>
            </w:r>
          </w:p>
        </w:tc>
        <w:tc>
          <w:tcPr>
            <w:tcW w:w="2186" w:type="dxa"/>
            <w:shd w:val="clear" w:color="auto" w:fill="auto"/>
          </w:tcPr>
          <w:p w14:paraId="5D543B3B" w14:textId="57E33899"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18</w:t>
            </w:r>
          </w:p>
        </w:tc>
        <w:tc>
          <w:tcPr>
            <w:tcW w:w="2186" w:type="dxa"/>
            <w:shd w:val="clear" w:color="auto" w:fill="auto"/>
          </w:tcPr>
          <w:p w14:paraId="03713ACD" w14:textId="42FF19BA"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30</w:t>
            </w:r>
          </w:p>
        </w:tc>
        <w:tc>
          <w:tcPr>
            <w:tcW w:w="2186" w:type="dxa"/>
            <w:shd w:val="clear" w:color="auto" w:fill="auto"/>
          </w:tcPr>
          <w:p w14:paraId="29E98152" w14:textId="4F8ACDBC"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fldChar w:fldCharType="begin"/>
            </w:r>
            <w:r>
              <w:instrText xml:space="preserve"> =Sum(ABOVE) </w:instrText>
            </w:r>
            <w:r>
              <w:fldChar w:fldCharType="separate"/>
            </w:r>
            <w:r>
              <w:rPr>
                <w:noProof/>
              </w:rPr>
              <w:t>74</w:t>
            </w:r>
            <w:r>
              <w:fldChar w:fldCharType="end"/>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013D7499" w:rsidR="00332EE6" w:rsidRPr="005C6F05" w:rsidRDefault="005C6F05"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5C6F05">
              <w:rPr>
                <w:b/>
                <w:bCs/>
                <w:sz w:val="24"/>
                <w:szCs w:val="24"/>
                <w:lang w:val="en-GB"/>
              </w:rPr>
              <w:t>15</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2DAEC8F5" w:rsidR="00332EE6" w:rsidRPr="005C6F05" w:rsidRDefault="005C6F05"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5C6F05">
              <w:rPr>
                <w:b/>
                <w:bCs/>
                <w:sz w:val="24"/>
                <w:szCs w:val="24"/>
                <w:lang w:val="en-GB"/>
              </w:rPr>
              <w:t>3</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05DFA8B7" w:rsidR="00A231D9" w:rsidRPr="005C6F05" w:rsidRDefault="005C6F05" w:rsidP="00A231D9">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5C6F05">
              <w:rPr>
                <w:b/>
                <w:bCs/>
                <w:sz w:val="24"/>
                <w:szCs w:val="24"/>
                <w:lang w:val="en-GB"/>
              </w:rPr>
              <w:t>111</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70582E8C" w:rsidR="00A231D9" w:rsidRPr="005C6F05" w:rsidRDefault="005C6F05" w:rsidP="00A231D9">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5C6F05">
              <w:rPr>
                <w:b/>
                <w:bCs/>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01FEA84D" w:rsidR="00A231D9" w:rsidRPr="005C6F05" w:rsidRDefault="005C6F05" w:rsidP="00A231D9">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5C6F05">
              <w:rPr>
                <w:b/>
                <w:bCs/>
                <w:sz w:val="24"/>
                <w:szCs w:val="24"/>
                <w:lang w:val="en-GB"/>
              </w:rPr>
              <w:t>0</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3955BE08" w:rsidR="00332EE6" w:rsidRPr="005C6F05" w:rsidRDefault="005C6F05"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5C6F05">
              <w:rPr>
                <w:b/>
                <w:bCs/>
                <w:sz w:val="24"/>
                <w:szCs w:val="24"/>
                <w:lang w:val="en-GB"/>
              </w:rPr>
              <w:t>0</w:t>
            </w:r>
          </w:p>
        </w:tc>
      </w:tr>
    </w:tbl>
    <w:p w14:paraId="64BFE535" w14:textId="2967F9DF" w:rsidR="00595C55" w:rsidRDefault="00595C55" w:rsidP="00595C55"/>
    <w:p w14:paraId="14E9A5FF" w14:textId="6291F423" w:rsidR="005C6F05" w:rsidRDefault="005C6F05" w:rsidP="00595C55"/>
    <w:p w14:paraId="144FCE04" w14:textId="549F2720" w:rsidR="005C6F05" w:rsidRDefault="005C6F05" w:rsidP="00595C55"/>
    <w:p w14:paraId="78ACCEE3" w14:textId="1889D99F" w:rsidR="005C6F05" w:rsidRDefault="005C6F05" w:rsidP="00595C55"/>
    <w:p w14:paraId="7B6E65AD" w14:textId="77777777" w:rsidR="005C6F05" w:rsidRDefault="005C6F0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5C6F05" w14:paraId="6ACB0BBF" w14:textId="77777777" w:rsidTr="006E2EAA">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5C6F05" w:rsidRPr="00523CF4" w:rsidRDefault="005C6F05" w:rsidP="005C6F05">
            <w:pPr>
              <w:pStyle w:val="MAPPA-Tabletext"/>
              <w:rPr>
                <w:b w:val="0"/>
                <w:bCs w:val="0"/>
                <w:sz w:val="24"/>
                <w:szCs w:val="24"/>
                <w:lang w:val="en-GB"/>
              </w:rPr>
            </w:pPr>
            <w:r w:rsidRPr="00523CF4">
              <w:rPr>
                <w:b w:val="0"/>
                <w:bCs w:val="0"/>
                <w:sz w:val="24"/>
                <w:szCs w:val="24"/>
                <w:lang w:val="en-GB"/>
              </w:rPr>
              <w:t>Level 2</w:t>
            </w:r>
          </w:p>
        </w:tc>
        <w:tc>
          <w:tcPr>
            <w:tcW w:w="2185" w:type="dxa"/>
            <w:shd w:val="clear" w:color="auto" w:fill="auto"/>
          </w:tcPr>
          <w:p w14:paraId="2AA5C817" w14:textId="74411FD8"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13</w:t>
            </w:r>
          </w:p>
        </w:tc>
        <w:tc>
          <w:tcPr>
            <w:tcW w:w="2186" w:type="dxa"/>
            <w:shd w:val="clear" w:color="auto" w:fill="auto"/>
          </w:tcPr>
          <w:p w14:paraId="34F9E68F" w14:textId="016F9683"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10</w:t>
            </w:r>
          </w:p>
        </w:tc>
        <w:tc>
          <w:tcPr>
            <w:tcW w:w="2186" w:type="dxa"/>
            <w:shd w:val="clear" w:color="auto" w:fill="auto"/>
          </w:tcPr>
          <w:p w14:paraId="720ECB5F" w14:textId="30EDC894"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w:t>
            </w:r>
          </w:p>
        </w:tc>
        <w:tc>
          <w:tcPr>
            <w:cnfStyle w:val="000100000000" w:firstRow="0" w:lastRow="0" w:firstColumn="0" w:lastColumn="1" w:oddVBand="0" w:evenVBand="0" w:oddHBand="0" w:evenHBand="0" w:firstRowFirstColumn="0" w:firstRowLastColumn="0" w:lastRowFirstColumn="0" w:lastRowLastColumn="0"/>
            <w:tcW w:w="2186" w:type="dxa"/>
            <w:shd w:val="clear" w:color="auto" w:fill="auto"/>
          </w:tcPr>
          <w:p w14:paraId="3C9CEA08" w14:textId="2D3496F5" w:rsidR="005C6F05" w:rsidRPr="00523CF4" w:rsidRDefault="005C6F05" w:rsidP="005C6F05">
            <w:pPr>
              <w:pStyle w:val="MAPPA-Tabletext"/>
              <w:jc w:val="right"/>
              <w:rPr>
                <w:b w:val="0"/>
                <w:bCs w:val="0"/>
                <w:sz w:val="24"/>
                <w:szCs w:val="24"/>
                <w:lang w:val="en-GB"/>
              </w:rPr>
            </w:pPr>
            <w:r>
              <w:rPr>
                <w:noProof/>
              </w:rPr>
              <w:t>29</w:t>
            </w:r>
          </w:p>
        </w:tc>
      </w:tr>
      <w:tr w:rsidR="005C6F05" w14:paraId="44E15175" w14:textId="77777777" w:rsidTr="006E2EAA">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5C6F05" w:rsidRPr="00523CF4" w:rsidRDefault="005C6F05" w:rsidP="005C6F05">
            <w:pPr>
              <w:pStyle w:val="MAPPA-Tabletext"/>
              <w:rPr>
                <w:b w:val="0"/>
                <w:bCs w:val="0"/>
                <w:sz w:val="24"/>
                <w:szCs w:val="24"/>
                <w:lang w:val="en-GB"/>
              </w:rPr>
            </w:pPr>
            <w:r w:rsidRPr="00523CF4">
              <w:rPr>
                <w:b w:val="0"/>
                <w:bCs w:val="0"/>
                <w:sz w:val="24"/>
                <w:szCs w:val="24"/>
                <w:lang w:val="en-GB"/>
              </w:rPr>
              <w:t>Level 3</w:t>
            </w:r>
          </w:p>
        </w:tc>
        <w:tc>
          <w:tcPr>
            <w:tcW w:w="2185" w:type="dxa"/>
            <w:shd w:val="clear" w:color="auto" w:fill="auto"/>
          </w:tcPr>
          <w:p w14:paraId="19A6985D" w14:textId="558FF507"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shd w:val="clear" w:color="auto" w:fill="auto"/>
          </w:tcPr>
          <w:p w14:paraId="272FF4F7" w14:textId="0EB802B2"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0</w:t>
            </w:r>
          </w:p>
        </w:tc>
        <w:tc>
          <w:tcPr>
            <w:tcW w:w="2186" w:type="dxa"/>
            <w:shd w:val="clear" w:color="auto" w:fill="auto"/>
          </w:tcPr>
          <w:p w14:paraId="75D55EA6" w14:textId="444C2D19" w:rsidR="005C6F05" w:rsidRPr="00523CF4" w:rsidRDefault="005C6F05" w:rsidP="005C6F0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cnfStyle w:val="000100000000" w:firstRow="0" w:lastRow="0" w:firstColumn="0" w:lastColumn="1" w:oddVBand="0" w:evenVBand="0" w:oddHBand="0" w:evenHBand="0" w:firstRowFirstColumn="0" w:firstRowLastColumn="0" w:lastRowFirstColumn="0" w:lastRowLastColumn="0"/>
            <w:tcW w:w="2186" w:type="dxa"/>
            <w:shd w:val="clear" w:color="auto" w:fill="auto"/>
          </w:tcPr>
          <w:p w14:paraId="159D0BFB" w14:textId="396AE808" w:rsidR="005C6F05" w:rsidRPr="00523CF4" w:rsidRDefault="005C6F05" w:rsidP="005C6F05">
            <w:pPr>
              <w:pStyle w:val="MAPPA-Tabletext"/>
              <w:jc w:val="right"/>
              <w:rPr>
                <w:b w:val="0"/>
                <w:bCs w:val="0"/>
                <w:sz w:val="24"/>
                <w:szCs w:val="24"/>
                <w:lang w:val="en-GB"/>
              </w:rPr>
            </w:pPr>
            <w:r>
              <w:rPr>
                <w:noProof/>
              </w:rPr>
              <w:t>4</w:t>
            </w:r>
          </w:p>
        </w:tc>
      </w:tr>
      <w:tr w:rsidR="005C6F05" w14:paraId="0F4C2376" w14:textId="77777777" w:rsidTr="006E2E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5C6F05" w:rsidRPr="00523CF4" w:rsidRDefault="005C6F05" w:rsidP="005C6F05">
            <w:pPr>
              <w:pStyle w:val="MAPPA-Tabletext"/>
              <w:rPr>
                <w:b w:val="0"/>
                <w:bCs w:val="0"/>
                <w:sz w:val="24"/>
                <w:szCs w:val="24"/>
                <w:lang w:val="en-GB"/>
              </w:rPr>
            </w:pPr>
            <w:r w:rsidRPr="00523CF4">
              <w:rPr>
                <w:b w:val="0"/>
                <w:bCs w:val="0"/>
                <w:sz w:val="24"/>
                <w:szCs w:val="24"/>
                <w:lang w:val="en-GB"/>
              </w:rPr>
              <w:t>Total</w:t>
            </w:r>
          </w:p>
        </w:tc>
        <w:tc>
          <w:tcPr>
            <w:tcW w:w="2185" w:type="dxa"/>
            <w:shd w:val="clear" w:color="auto" w:fill="auto"/>
          </w:tcPr>
          <w:p w14:paraId="553CCAF1" w14:textId="55544D7A" w:rsidR="005C6F05" w:rsidRPr="00523CF4" w:rsidRDefault="005C6F05" w:rsidP="005C6F0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16</w:t>
            </w:r>
            <w:r>
              <w:fldChar w:fldCharType="end"/>
            </w:r>
          </w:p>
        </w:tc>
        <w:tc>
          <w:tcPr>
            <w:tcW w:w="2186" w:type="dxa"/>
            <w:shd w:val="clear" w:color="auto" w:fill="auto"/>
          </w:tcPr>
          <w:p w14:paraId="184256C5" w14:textId="1E2D219B" w:rsidR="005C6F05" w:rsidRPr="00523CF4" w:rsidRDefault="005C6F05" w:rsidP="005C6F0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10</w:t>
            </w:r>
            <w:r>
              <w:fldChar w:fldCharType="end"/>
            </w:r>
          </w:p>
        </w:tc>
        <w:tc>
          <w:tcPr>
            <w:tcW w:w="2186" w:type="dxa"/>
            <w:shd w:val="clear" w:color="auto" w:fill="auto"/>
          </w:tcPr>
          <w:p w14:paraId="44078787" w14:textId="446EFA72" w:rsidR="005C6F05" w:rsidRPr="00523CF4" w:rsidRDefault="005C6F05" w:rsidP="005C6F0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7</w:t>
            </w:r>
            <w:r>
              <w:fldChar w:fldCharType="end"/>
            </w:r>
          </w:p>
        </w:tc>
        <w:tc>
          <w:tcPr>
            <w:cnfStyle w:val="000100000000" w:firstRow="0" w:lastRow="0" w:firstColumn="0" w:lastColumn="1" w:oddVBand="0" w:evenVBand="0" w:oddHBand="0" w:evenHBand="0" w:firstRowFirstColumn="0" w:firstRowLastColumn="0" w:lastRowFirstColumn="0" w:lastRowLastColumn="0"/>
            <w:tcW w:w="2186" w:type="dxa"/>
            <w:shd w:val="clear" w:color="auto" w:fill="auto"/>
          </w:tcPr>
          <w:p w14:paraId="6FE71637" w14:textId="708AB7A9" w:rsidR="005C6F05" w:rsidRPr="00523CF4" w:rsidRDefault="005C6F05" w:rsidP="005C6F05">
            <w:pPr>
              <w:pStyle w:val="MAPPA-Tabletext"/>
              <w:jc w:val="right"/>
              <w:rPr>
                <w:b w:val="0"/>
                <w:bCs w:val="0"/>
                <w:sz w:val="24"/>
                <w:szCs w:val="24"/>
                <w:lang w:val="en-GB"/>
              </w:rPr>
            </w:pPr>
            <w:r>
              <w:rPr>
                <w:noProof/>
              </w:rPr>
              <w:t>33</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14B4BCD8" w:rsidR="00FA3513" w:rsidRPr="005C6F05" w:rsidRDefault="005C6F05" w:rsidP="00316362">
            <w:pPr>
              <w:pStyle w:val="MAPPA-Tabletext"/>
              <w:jc w:val="right"/>
              <w:rPr>
                <w:sz w:val="24"/>
                <w:szCs w:val="24"/>
                <w:lang w:val="en-GB"/>
              </w:rPr>
            </w:pPr>
            <w:r w:rsidRPr="005C6F05">
              <w:rPr>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74BD540D" w:rsidR="00FA3513" w:rsidRPr="005C6F05" w:rsidRDefault="005C6F05" w:rsidP="00316362">
            <w:pPr>
              <w:pStyle w:val="MAPPA-Tabletext"/>
              <w:jc w:val="right"/>
              <w:rPr>
                <w:sz w:val="24"/>
                <w:szCs w:val="24"/>
                <w:lang w:val="en-GB"/>
              </w:rPr>
            </w:pPr>
            <w:r w:rsidRPr="005C6F05">
              <w:rPr>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1E4E6FA9" w:rsidR="00FA3513" w:rsidRPr="005C6F05" w:rsidRDefault="005C6F05" w:rsidP="00316362">
            <w:pPr>
              <w:pStyle w:val="MAPPA-Tabletext"/>
              <w:jc w:val="right"/>
              <w:rPr>
                <w:sz w:val="24"/>
                <w:szCs w:val="24"/>
                <w:lang w:val="en-GB"/>
              </w:rPr>
            </w:pPr>
            <w:r w:rsidRPr="005C6F05">
              <w:rPr>
                <w:sz w:val="24"/>
                <w:szCs w:val="24"/>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78982657" w:rsidR="00332EE6" w:rsidRPr="005C6F05" w:rsidRDefault="005C6F05" w:rsidP="00316362">
            <w:pPr>
              <w:pStyle w:val="MAPPA-Tabletext"/>
              <w:jc w:val="right"/>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5C6F05">
              <w:rPr>
                <w:b/>
                <w:bCs/>
                <w:sz w:val="24"/>
                <w:szCs w:val="24"/>
                <w:lang w:val="en-GB"/>
              </w:rPr>
              <w:t>138</w:t>
            </w:r>
          </w:p>
        </w:tc>
      </w:tr>
    </w:tbl>
    <w:p w14:paraId="07E10B6F" w14:textId="77777777" w:rsidR="00332EE6" w:rsidRPr="001F3FB5" w:rsidRDefault="00332EE6" w:rsidP="00332EE6">
      <w:pPr>
        <w:rPr>
          <w:rFonts w:ascii="Arial" w:hAnsi="Arial" w:cs="Arial"/>
          <w:sz w:val="20"/>
          <w:szCs w:val="20"/>
        </w:rPr>
      </w:pPr>
    </w:p>
    <w:p w14:paraId="45D5C814" w14:textId="77777777" w:rsidR="009115B2" w:rsidRPr="00791BEC" w:rsidRDefault="009115B2" w:rsidP="009115B2">
      <w:pPr>
        <w:rPr>
          <w:rFonts w:ascii="Arial" w:hAnsi="Arial" w:cs="Arial"/>
          <w:sz w:val="20"/>
          <w:szCs w:val="20"/>
        </w:rPr>
      </w:pPr>
      <w:r w:rsidRPr="00791BEC">
        <w:rPr>
          <w:rFonts w:ascii="Arial" w:hAnsi="Arial" w:cs="Arial"/>
          <w:sz w:val="20"/>
          <w:szCs w:val="20"/>
        </w:rPr>
        <w:t>This figure has been calculated using the mid-2021 estimated resident population, published by the Office for National Statistics (ONS) on 21 December 202</w:t>
      </w:r>
      <w:r>
        <w:rPr>
          <w:rFonts w:ascii="Arial" w:hAnsi="Arial" w:cs="Arial"/>
          <w:sz w:val="20"/>
          <w:szCs w:val="20"/>
        </w:rPr>
        <w:t>2</w:t>
      </w:r>
      <w:r w:rsidRPr="00791BEC">
        <w:rPr>
          <w:rFonts w:ascii="Arial" w:hAnsi="Arial" w:cs="Arial"/>
          <w:sz w:val="20"/>
          <w:szCs w:val="20"/>
        </w:rPr>
        <w:t xml:space="preserve">, excluding those aged less than ten years of age. </w:t>
      </w:r>
    </w:p>
    <w:p w14:paraId="35698993" w14:textId="77777777" w:rsidR="009115B2" w:rsidRPr="00791BEC" w:rsidRDefault="009115B2" w:rsidP="009115B2">
      <w:pPr>
        <w:rPr>
          <w:rFonts w:ascii="Arial" w:hAnsi="Arial" w:cs="Arial"/>
          <w:sz w:val="20"/>
          <w:szCs w:val="20"/>
        </w:rPr>
      </w:pPr>
    </w:p>
    <w:p w14:paraId="2CCF8BDE" w14:textId="77777777" w:rsidR="009115B2" w:rsidRPr="00791BEC" w:rsidRDefault="009115B2" w:rsidP="009115B2">
      <w:pPr>
        <w:rPr>
          <w:rFonts w:ascii="Arial" w:hAnsi="Arial" w:cs="Arial"/>
          <w:sz w:val="20"/>
          <w:szCs w:val="20"/>
        </w:rPr>
      </w:pPr>
      <w:r w:rsidRPr="00791BEC">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1"/>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w:t>
      </w:r>
      <w:proofErr w:type="spellStart"/>
      <w:r w:rsidR="000F355B" w:rsidRPr="00B510E5">
        <w:rPr>
          <w:rStyle w:val="Style3Char"/>
          <w:sz w:val="24"/>
          <w:szCs w:val="24"/>
        </w:rPr>
        <w:t>L</w:t>
      </w:r>
      <w:r w:rsidRPr="00B510E5">
        <w:rPr>
          <w:rStyle w:val="Style3Char"/>
          <w:sz w:val="24"/>
          <w:szCs w:val="24"/>
        </w:rPr>
        <w:t>icence</w:t>
      </w:r>
      <w:proofErr w:type="spellEnd"/>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proofErr w:type="spellStart"/>
      <w:r w:rsidR="005F4133">
        <w:rPr>
          <w:sz w:val="24"/>
          <w:szCs w:val="24"/>
        </w:rPr>
        <w:t>i</w:t>
      </w:r>
      <w:proofErr w:type="spellEnd"/>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The Sexual Risk Order (SRO) replaced the Risk of Sexual Harm Order (</w:t>
      </w:r>
      <w:proofErr w:type="spellStart"/>
      <w:r w:rsidRPr="00B510E5">
        <w:rPr>
          <w:b w:val="0"/>
          <w:bCs/>
          <w:color w:val="auto"/>
          <w:sz w:val="24"/>
          <w:szCs w:val="24"/>
        </w:rPr>
        <w:t>RoSHO</w:t>
      </w:r>
      <w:proofErr w:type="spellEnd"/>
      <w:r w:rsidRPr="00B510E5">
        <w:rPr>
          <w:b w:val="0"/>
          <w:bCs/>
          <w:color w:val="auto"/>
          <w:sz w:val="24"/>
          <w:szCs w:val="24"/>
        </w:rPr>
        <w:t xml:space="preserve">)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3C98FE0" w:rsidR="00332EE6"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66A14197" w14:textId="535E270E" w:rsidR="004B0EEE" w:rsidRDefault="004B0EEE" w:rsidP="00B510E5">
      <w:pPr>
        <w:autoSpaceDE w:val="0"/>
        <w:autoSpaceDN w:val="0"/>
        <w:adjustRightInd w:val="0"/>
        <w:spacing w:after="240" w:line="260" w:lineRule="exact"/>
        <w:rPr>
          <w:rFonts w:ascii="Arial" w:hAnsi="Arial" w:cs="Arial"/>
          <w:color w:val="000000"/>
        </w:rPr>
      </w:pPr>
    </w:p>
    <w:p w14:paraId="5E0D1ED3" w14:textId="38645D38" w:rsidR="004B0EEE" w:rsidRDefault="004B0EEE" w:rsidP="00B510E5">
      <w:pPr>
        <w:autoSpaceDE w:val="0"/>
        <w:autoSpaceDN w:val="0"/>
        <w:adjustRightInd w:val="0"/>
        <w:spacing w:after="240" w:line="260" w:lineRule="exact"/>
        <w:rPr>
          <w:rFonts w:ascii="Arial" w:hAnsi="Arial" w:cs="Arial"/>
          <w:color w:val="000000"/>
        </w:rPr>
      </w:pPr>
    </w:p>
    <w:p w14:paraId="7D58FBA4" w14:textId="59BABBA9" w:rsidR="004B0EEE" w:rsidRDefault="004B0EEE" w:rsidP="00B510E5">
      <w:pPr>
        <w:autoSpaceDE w:val="0"/>
        <w:autoSpaceDN w:val="0"/>
        <w:adjustRightInd w:val="0"/>
        <w:spacing w:after="240" w:line="260" w:lineRule="exact"/>
        <w:rPr>
          <w:rFonts w:ascii="Arial" w:hAnsi="Arial" w:cs="Arial"/>
          <w:color w:val="000000"/>
        </w:rPr>
      </w:pPr>
    </w:p>
    <w:p w14:paraId="6BBE309D" w14:textId="7A5BD84A" w:rsidR="004B0EEE" w:rsidRDefault="004B0EEE" w:rsidP="00B510E5">
      <w:pPr>
        <w:autoSpaceDE w:val="0"/>
        <w:autoSpaceDN w:val="0"/>
        <w:adjustRightInd w:val="0"/>
        <w:spacing w:after="240" w:line="260" w:lineRule="exact"/>
        <w:rPr>
          <w:rFonts w:ascii="Arial" w:hAnsi="Arial" w:cs="Arial"/>
          <w:color w:val="000000"/>
        </w:rPr>
      </w:pPr>
    </w:p>
    <w:p w14:paraId="30858665" w14:textId="0D819FBF" w:rsidR="004B0EEE" w:rsidRDefault="004B0EEE" w:rsidP="00B510E5">
      <w:pPr>
        <w:autoSpaceDE w:val="0"/>
        <w:autoSpaceDN w:val="0"/>
        <w:adjustRightInd w:val="0"/>
        <w:spacing w:after="240" w:line="260" w:lineRule="exact"/>
        <w:rPr>
          <w:rFonts w:ascii="Arial" w:hAnsi="Arial" w:cs="Arial"/>
          <w:color w:val="000000"/>
        </w:rPr>
      </w:pPr>
    </w:p>
    <w:p w14:paraId="40DA07B4" w14:textId="07664967" w:rsidR="004B0EEE" w:rsidRDefault="004B0EEE" w:rsidP="00B510E5">
      <w:pPr>
        <w:autoSpaceDE w:val="0"/>
        <w:autoSpaceDN w:val="0"/>
        <w:adjustRightInd w:val="0"/>
        <w:spacing w:after="240" w:line="260" w:lineRule="exact"/>
        <w:rPr>
          <w:rFonts w:ascii="Arial" w:hAnsi="Arial" w:cs="Arial"/>
          <w:color w:val="000000"/>
        </w:rPr>
      </w:pPr>
    </w:p>
    <w:p w14:paraId="7A1AB30E" w14:textId="6D541A97" w:rsidR="004B0EEE" w:rsidRDefault="004B0EEE" w:rsidP="00B510E5">
      <w:pPr>
        <w:autoSpaceDE w:val="0"/>
        <w:autoSpaceDN w:val="0"/>
        <w:adjustRightInd w:val="0"/>
        <w:spacing w:after="240" w:line="260" w:lineRule="exact"/>
        <w:rPr>
          <w:rFonts w:ascii="Arial" w:hAnsi="Arial" w:cs="Arial"/>
          <w:color w:val="000000"/>
        </w:rPr>
      </w:pPr>
    </w:p>
    <w:p w14:paraId="4E8D1275" w14:textId="1509F93C" w:rsidR="004B0EEE" w:rsidRDefault="004B0EEE" w:rsidP="00B510E5">
      <w:pPr>
        <w:autoSpaceDE w:val="0"/>
        <w:autoSpaceDN w:val="0"/>
        <w:adjustRightInd w:val="0"/>
        <w:spacing w:after="240" w:line="260" w:lineRule="exact"/>
        <w:rPr>
          <w:rFonts w:ascii="Arial" w:hAnsi="Arial" w:cs="Arial"/>
          <w:color w:val="000000"/>
        </w:rPr>
      </w:pPr>
    </w:p>
    <w:p w14:paraId="3AAB2766" w14:textId="53133B29" w:rsidR="004B0EEE" w:rsidRDefault="004B0EEE" w:rsidP="00B510E5">
      <w:pPr>
        <w:autoSpaceDE w:val="0"/>
        <w:autoSpaceDN w:val="0"/>
        <w:adjustRightInd w:val="0"/>
        <w:spacing w:after="240" w:line="260" w:lineRule="exact"/>
        <w:rPr>
          <w:rFonts w:ascii="Arial" w:hAnsi="Arial" w:cs="Arial"/>
          <w:color w:val="000000"/>
        </w:rPr>
      </w:pPr>
    </w:p>
    <w:p w14:paraId="23D17C32" w14:textId="36965E02" w:rsidR="004B0EEE" w:rsidRDefault="004B0EEE" w:rsidP="00B510E5">
      <w:pPr>
        <w:autoSpaceDE w:val="0"/>
        <w:autoSpaceDN w:val="0"/>
        <w:adjustRightInd w:val="0"/>
        <w:spacing w:after="240" w:line="260" w:lineRule="exact"/>
        <w:rPr>
          <w:rFonts w:ascii="Arial" w:hAnsi="Arial" w:cs="Arial"/>
          <w:color w:val="000000"/>
        </w:rPr>
      </w:pPr>
    </w:p>
    <w:p w14:paraId="41A15662" w14:textId="657BB767" w:rsidR="004B0EEE" w:rsidRDefault="004B0EEE" w:rsidP="00B510E5">
      <w:pPr>
        <w:autoSpaceDE w:val="0"/>
        <w:autoSpaceDN w:val="0"/>
        <w:adjustRightInd w:val="0"/>
        <w:spacing w:after="240" w:line="260" w:lineRule="exact"/>
        <w:rPr>
          <w:rFonts w:ascii="Arial" w:hAnsi="Arial" w:cs="Arial"/>
          <w:color w:val="000000"/>
        </w:rPr>
      </w:pPr>
    </w:p>
    <w:p w14:paraId="5637E766" w14:textId="39B50CFF" w:rsidR="004B0EEE" w:rsidRDefault="004B0EEE" w:rsidP="00B510E5">
      <w:pPr>
        <w:autoSpaceDE w:val="0"/>
        <w:autoSpaceDN w:val="0"/>
        <w:adjustRightInd w:val="0"/>
        <w:spacing w:after="240" w:line="260" w:lineRule="exact"/>
        <w:rPr>
          <w:rFonts w:ascii="Arial" w:hAnsi="Arial" w:cs="Arial"/>
          <w:color w:val="000000"/>
        </w:rPr>
      </w:pPr>
    </w:p>
    <w:p w14:paraId="71C05D6A" w14:textId="7BCC8FFC" w:rsidR="004B0EEE" w:rsidRDefault="004B0EEE" w:rsidP="00B510E5">
      <w:pPr>
        <w:autoSpaceDE w:val="0"/>
        <w:autoSpaceDN w:val="0"/>
        <w:adjustRightInd w:val="0"/>
        <w:spacing w:after="240" w:line="260" w:lineRule="exact"/>
        <w:rPr>
          <w:rFonts w:ascii="Arial" w:hAnsi="Arial" w:cs="Arial"/>
          <w:color w:val="000000"/>
        </w:rPr>
      </w:pPr>
    </w:p>
    <w:p w14:paraId="71BCA6B6" w14:textId="6D54912C" w:rsidR="004B0EEE" w:rsidRDefault="004B0EEE" w:rsidP="00B510E5">
      <w:pPr>
        <w:autoSpaceDE w:val="0"/>
        <w:autoSpaceDN w:val="0"/>
        <w:adjustRightInd w:val="0"/>
        <w:spacing w:after="240" w:line="260" w:lineRule="exact"/>
        <w:rPr>
          <w:rFonts w:ascii="Arial" w:hAnsi="Arial" w:cs="Arial"/>
          <w:color w:val="000000"/>
        </w:rPr>
      </w:pPr>
    </w:p>
    <w:p w14:paraId="605224F7" w14:textId="4A610BCB" w:rsidR="004B0EEE" w:rsidRDefault="004B0EEE" w:rsidP="00B510E5">
      <w:pPr>
        <w:autoSpaceDE w:val="0"/>
        <w:autoSpaceDN w:val="0"/>
        <w:adjustRightInd w:val="0"/>
        <w:spacing w:after="240" w:line="260" w:lineRule="exact"/>
        <w:rPr>
          <w:rFonts w:ascii="Arial" w:hAnsi="Arial" w:cs="Arial"/>
          <w:color w:val="000000"/>
        </w:rPr>
      </w:pPr>
    </w:p>
    <w:p w14:paraId="080E5273" w14:textId="287DC83E" w:rsidR="004B0EEE" w:rsidRDefault="004B0EEE" w:rsidP="00B510E5">
      <w:pPr>
        <w:autoSpaceDE w:val="0"/>
        <w:autoSpaceDN w:val="0"/>
        <w:adjustRightInd w:val="0"/>
        <w:spacing w:after="240" w:line="260" w:lineRule="exact"/>
        <w:rPr>
          <w:rFonts w:ascii="Arial" w:hAnsi="Arial" w:cs="Arial"/>
          <w:color w:val="000000"/>
        </w:rPr>
      </w:pPr>
    </w:p>
    <w:p w14:paraId="7C77AA6B" w14:textId="15D1B80B" w:rsidR="004B0EEE" w:rsidRDefault="004B0EEE" w:rsidP="00B510E5">
      <w:pPr>
        <w:autoSpaceDE w:val="0"/>
        <w:autoSpaceDN w:val="0"/>
        <w:adjustRightInd w:val="0"/>
        <w:spacing w:after="240" w:line="260" w:lineRule="exact"/>
        <w:rPr>
          <w:rFonts w:ascii="Arial" w:hAnsi="Arial" w:cs="Arial"/>
          <w:color w:val="000000"/>
        </w:rPr>
      </w:pPr>
    </w:p>
    <w:p w14:paraId="298E4A80" w14:textId="52CCD56F" w:rsidR="004B0EEE" w:rsidRDefault="004B0EEE" w:rsidP="00B510E5">
      <w:pPr>
        <w:autoSpaceDE w:val="0"/>
        <w:autoSpaceDN w:val="0"/>
        <w:adjustRightInd w:val="0"/>
        <w:spacing w:after="240" w:line="260" w:lineRule="exact"/>
        <w:rPr>
          <w:rFonts w:ascii="Arial" w:hAnsi="Arial" w:cs="Arial"/>
          <w:color w:val="000000"/>
        </w:rPr>
      </w:pPr>
    </w:p>
    <w:p w14:paraId="1724E15D" w14:textId="7CE65EAF" w:rsidR="004B0EEE" w:rsidRDefault="004B0EEE" w:rsidP="00B510E5">
      <w:pPr>
        <w:autoSpaceDE w:val="0"/>
        <w:autoSpaceDN w:val="0"/>
        <w:adjustRightInd w:val="0"/>
        <w:spacing w:after="240" w:line="260" w:lineRule="exact"/>
        <w:rPr>
          <w:rFonts w:ascii="Arial" w:hAnsi="Arial" w:cs="Arial"/>
          <w:color w:val="000000"/>
        </w:rPr>
      </w:pPr>
    </w:p>
    <w:p w14:paraId="2CCB5EBB" w14:textId="10FDE8DA" w:rsidR="004B0EEE" w:rsidRDefault="004B0EEE" w:rsidP="00B510E5">
      <w:pPr>
        <w:autoSpaceDE w:val="0"/>
        <w:autoSpaceDN w:val="0"/>
        <w:adjustRightInd w:val="0"/>
        <w:spacing w:after="240" w:line="260" w:lineRule="exact"/>
        <w:rPr>
          <w:rFonts w:ascii="Arial" w:hAnsi="Arial" w:cs="Arial"/>
          <w:color w:val="000000"/>
        </w:rPr>
      </w:pPr>
    </w:p>
    <w:p w14:paraId="77DAC085" w14:textId="1E18998B" w:rsidR="004B0EEE" w:rsidRDefault="004B0EEE" w:rsidP="00B510E5">
      <w:pPr>
        <w:autoSpaceDE w:val="0"/>
        <w:autoSpaceDN w:val="0"/>
        <w:adjustRightInd w:val="0"/>
        <w:spacing w:after="240" w:line="260" w:lineRule="exact"/>
        <w:rPr>
          <w:rFonts w:ascii="Arial" w:hAnsi="Arial" w:cs="Arial"/>
          <w:color w:val="000000"/>
        </w:rPr>
      </w:pPr>
    </w:p>
    <w:p w14:paraId="30C71A47" w14:textId="6147D2C8" w:rsidR="004B0EEE" w:rsidRDefault="004B0EEE" w:rsidP="00B510E5">
      <w:pPr>
        <w:autoSpaceDE w:val="0"/>
        <w:autoSpaceDN w:val="0"/>
        <w:adjustRightInd w:val="0"/>
        <w:spacing w:after="240" w:line="260" w:lineRule="exact"/>
        <w:rPr>
          <w:rFonts w:ascii="Arial" w:hAnsi="Arial" w:cs="Arial"/>
          <w:color w:val="000000"/>
        </w:rPr>
      </w:pPr>
    </w:p>
    <w:p w14:paraId="1B6E3D51" w14:textId="6F330D29" w:rsidR="004B0EEE" w:rsidRDefault="004B0EEE" w:rsidP="00B510E5">
      <w:pPr>
        <w:autoSpaceDE w:val="0"/>
        <w:autoSpaceDN w:val="0"/>
        <w:adjustRightInd w:val="0"/>
        <w:spacing w:after="240" w:line="260" w:lineRule="exact"/>
        <w:rPr>
          <w:rFonts w:ascii="Arial" w:hAnsi="Arial" w:cs="Arial"/>
          <w:color w:val="000000"/>
        </w:rPr>
      </w:pPr>
    </w:p>
    <w:p w14:paraId="148CDBB4" w14:textId="7AD53AF7" w:rsidR="004B0EEE" w:rsidRDefault="004B0EEE" w:rsidP="00B510E5">
      <w:pPr>
        <w:autoSpaceDE w:val="0"/>
        <w:autoSpaceDN w:val="0"/>
        <w:adjustRightInd w:val="0"/>
        <w:spacing w:after="240" w:line="260" w:lineRule="exact"/>
        <w:rPr>
          <w:rFonts w:ascii="Arial" w:hAnsi="Arial" w:cs="Arial"/>
          <w:color w:val="000000"/>
        </w:rPr>
      </w:pPr>
    </w:p>
    <w:p w14:paraId="614406DF" w14:textId="77777777" w:rsidR="004B0EEE" w:rsidRPr="00B510E5" w:rsidRDefault="004B0EEE" w:rsidP="00B510E5">
      <w:pPr>
        <w:autoSpaceDE w:val="0"/>
        <w:autoSpaceDN w:val="0"/>
        <w:adjustRightInd w:val="0"/>
        <w:spacing w:after="240" w:line="260" w:lineRule="exact"/>
        <w:rPr>
          <w:rFonts w:ascii="Arial" w:hAnsi="Arial" w:cs="Arial"/>
          <w:color w:val="000000"/>
        </w:rPr>
      </w:pPr>
    </w:p>
    <w:p w14:paraId="2BD6F2F6" w14:textId="77777777" w:rsidR="005C6F05" w:rsidRPr="0069414D" w:rsidRDefault="005C6F05" w:rsidP="005C6F05">
      <w:pPr>
        <w:pStyle w:val="Heading1"/>
        <w:jc w:val="left"/>
      </w:pPr>
      <w:r>
        <w:t>Vitim Liaison Unit</w:t>
      </w:r>
    </w:p>
    <w:p w14:paraId="70338E19" w14:textId="77777777" w:rsidR="005C6F05" w:rsidRPr="007C7106" w:rsidRDefault="005C6F05" w:rsidP="005C6F05">
      <w:pPr>
        <w:pStyle w:val="Default"/>
        <w:pBdr>
          <w:bottom w:val="single" w:sz="4" w:space="1" w:color="007BC3"/>
        </w:pBdr>
        <w:rPr>
          <w:rFonts w:ascii="Arial" w:hAnsi="Arial" w:cs="Arial"/>
          <w:color w:val="FFFFFF"/>
          <w:sz w:val="16"/>
          <w:szCs w:val="16"/>
        </w:rPr>
      </w:pPr>
    </w:p>
    <w:p w14:paraId="04DF40E8" w14:textId="77777777" w:rsidR="005C6F05" w:rsidRPr="00916D29" w:rsidRDefault="005C6F05" w:rsidP="005C6F05">
      <w:pPr>
        <w:pStyle w:val="MAPPA-Bodytext"/>
        <w:rPr>
          <w:lang w:val="en-GB"/>
        </w:rPr>
        <w:sectPr w:rsidR="005C6F05" w:rsidRPr="00916D29" w:rsidSect="005C6F05">
          <w:footerReference w:type="default" r:id="rId22"/>
          <w:type w:val="continuous"/>
          <w:pgSz w:w="11905" w:h="16837" w:code="9"/>
          <w:pgMar w:top="720" w:right="720" w:bottom="720" w:left="720" w:header="720" w:footer="567" w:gutter="0"/>
          <w:cols w:space="720"/>
          <w:noEndnote/>
        </w:sectPr>
      </w:pPr>
    </w:p>
    <w:p w14:paraId="03C9C672" w14:textId="77777777" w:rsidR="005C6F05" w:rsidRDefault="005C6F05" w:rsidP="005C6F05">
      <w:pPr>
        <w:pStyle w:val="MAPPA-Bodytext"/>
        <w:rPr>
          <w:lang w:val="en-GB"/>
        </w:rPr>
      </w:pPr>
    </w:p>
    <w:p w14:paraId="6ECEC5CC" w14:textId="77777777" w:rsidR="005C6F05" w:rsidRPr="005C6F05" w:rsidRDefault="005C6F05" w:rsidP="005C6F05">
      <w:pPr>
        <w:rPr>
          <w:rFonts w:ascii="Arial" w:hAnsi="Arial" w:cs="Arial"/>
        </w:rPr>
      </w:pPr>
      <w:r w:rsidRPr="005C6F05">
        <w:rPr>
          <w:rFonts w:ascii="Arial" w:hAnsi="Arial" w:cs="Arial"/>
        </w:rPr>
        <w:t>In response to the expansion of the Victim Contact Scheme, a recruitment campaign was launched earlier in the year which has seen the appointment of 11 new VLOs across Staffordshire, West Midlands, Warwickshire and West Mercia. VLU Manager, Barbara Tudor retired back in March 2023 and new SPO Diane Greenhill was appointed to co-manage the Unit with SPO Jacky Thompson.</w:t>
      </w:r>
    </w:p>
    <w:p w14:paraId="0D8720C4" w14:textId="77777777" w:rsidR="005C6F05" w:rsidRPr="005C6F05" w:rsidRDefault="005C6F05" w:rsidP="005C6F05">
      <w:pPr>
        <w:rPr>
          <w:rFonts w:ascii="Arial" w:hAnsi="Arial" w:cs="Arial"/>
        </w:rPr>
      </w:pPr>
    </w:p>
    <w:p w14:paraId="1400CA36" w14:textId="77777777" w:rsidR="005C6F05" w:rsidRPr="005C6F05" w:rsidRDefault="005C6F05" w:rsidP="005C6F05">
      <w:pPr>
        <w:rPr>
          <w:rFonts w:ascii="Arial" w:hAnsi="Arial" w:cs="Arial"/>
        </w:rPr>
      </w:pPr>
      <w:r w:rsidRPr="005C6F05">
        <w:rPr>
          <w:rFonts w:ascii="Arial" w:hAnsi="Arial" w:cs="Arial"/>
        </w:rPr>
        <w:t>In early 2024, the Victim Notification Service (VNS) will be offered to victims of domestic abuse cases where the custodial sentence is less than 12 months. This was piloted in the South West and is now being rolled out across the country. This is a significant piece of work that the Victim Liaison Unit will be embarking upon, ensuring that victims of these shorter sentenced offenders, will be provided with up-to-date information about releases.</w:t>
      </w:r>
    </w:p>
    <w:p w14:paraId="7D5A2645" w14:textId="77777777" w:rsidR="005C6F05" w:rsidRPr="005C6F05" w:rsidRDefault="005C6F05" w:rsidP="005C6F05">
      <w:pPr>
        <w:rPr>
          <w:rFonts w:ascii="Arial" w:hAnsi="Arial" w:cs="Arial"/>
        </w:rPr>
      </w:pPr>
    </w:p>
    <w:p w14:paraId="067B2F2A" w14:textId="77777777" w:rsidR="005C6F05" w:rsidRPr="005C6F05" w:rsidRDefault="005C6F05" w:rsidP="005C6F05">
      <w:pPr>
        <w:rPr>
          <w:rFonts w:ascii="Arial" w:hAnsi="Arial" w:cs="Arial"/>
        </w:rPr>
      </w:pPr>
      <w:r w:rsidRPr="005C6F05">
        <w:rPr>
          <w:rFonts w:ascii="Arial" w:hAnsi="Arial" w:cs="Arial"/>
        </w:rPr>
        <w:t>Victims can, if they wish, opt in to read their Victim Personal Statement (VPS) in Oral Hearings. The Victim Liaison Officer (VLO) has a significant role in ensuring the victim is informed of the process, and supported not only in writing the VPS, but in attending the physical location, ensuring the technical equipment is set up and ensuring victims anonymity.</w:t>
      </w:r>
    </w:p>
    <w:p w14:paraId="3ECD08BE" w14:textId="77777777" w:rsidR="005C6F05" w:rsidRPr="005C6F05" w:rsidRDefault="005C6F05" w:rsidP="005C6F05">
      <w:pPr>
        <w:rPr>
          <w:rFonts w:ascii="Arial" w:hAnsi="Arial" w:cs="Arial"/>
        </w:rPr>
      </w:pPr>
    </w:p>
    <w:p w14:paraId="5AD53A7D" w14:textId="77777777" w:rsidR="005C6F05" w:rsidRPr="005C6F05" w:rsidRDefault="005C6F05" w:rsidP="005C6F05">
      <w:pPr>
        <w:rPr>
          <w:rFonts w:ascii="Arial" w:hAnsi="Arial" w:cs="Arial"/>
        </w:rPr>
      </w:pPr>
      <w:r w:rsidRPr="005C6F05">
        <w:rPr>
          <w:rFonts w:ascii="Arial" w:hAnsi="Arial" w:cs="Arial"/>
        </w:rPr>
        <w:t>VLOs are a pivotal link between the victim and SFO review authors. VLOs support the process by providing information to the author to ensure a sensitive approach to victims, especially when difficult messages are shared. VLOs are familiar to the victim, so can provide support and trust through what can be a difficult process.</w:t>
      </w:r>
    </w:p>
    <w:p w14:paraId="4131A29B" w14:textId="77777777" w:rsidR="005C6F05" w:rsidRPr="005C6F05" w:rsidRDefault="005C6F05" w:rsidP="005C6F05">
      <w:pPr>
        <w:rPr>
          <w:rFonts w:ascii="Arial" w:hAnsi="Arial" w:cs="Arial"/>
        </w:rPr>
      </w:pPr>
    </w:p>
    <w:p w14:paraId="2837DBF1" w14:textId="77777777" w:rsidR="005C6F05" w:rsidRPr="005C6F05" w:rsidRDefault="005C6F05" w:rsidP="005C6F05">
      <w:pPr>
        <w:rPr>
          <w:rFonts w:ascii="Arial" w:hAnsi="Arial" w:cs="Arial"/>
        </w:rPr>
      </w:pPr>
      <w:r w:rsidRPr="005C6F05">
        <w:rPr>
          <w:rFonts w:ascii="Arial" w:hAnsi="Arial" w:cs="Arial"/>
        </w:rPr>
        <w:t>We continue to have a key role at MAPPA and one of the key engagement opportunities that MAPPA provides for the VLOs, is to allow discussion around the needs of Offender Management in order to reduce risk, whilst also taking into consideration victim concerns.  It is imperative that we maintain our efficient working links with MAPPA, so that we can continue to have discussions, share information and collectively make appropriate decisions about the management of high-risk offenders.</w:t>
      </w:r>
    </w:p>
    <w:p w14:paraId="01FD78E8" w14:textId="77777777" w:rsidR="005C6F05" w:rsidRDefault="005C6F05" w:rsidP="005C6F05">
      <w:pPr>
        <w:pStyle w:val="MAPPA-Bodytext"/>
        <w:rPr>
          <w:lang w:val="en-GB"/>
        </w:rPr>
      </w:pPr>
    </w:p>
    <w:p w14:paraId="74141347" w14:textId="77777777" w:rsidR="005C6F05" w:rsidRDefault="005C6F05" w:rsidP="005C6F05">
      <w:pPr>
        <w:pStyle w:val="MAPPA-Bodytext"/>
        <w:rPr>
          <w:lang w:val="en-GB"/>
        </w:rPr>
      </w:pPr>
      <w:r>
        <w:rPr>
          <w:lang w:val="en-GB"/>
        </w:rPr>
        <w:t>Dian Greenhill</w:t>
      </w:r>
    </w:p>
    <w:p w14:paraId="41347113" w14:textId="77777777" w:rsidR="005C6F05" w:rsidRDefault="005C6F05" w:rsidP="005C6F05">
      <w:pPr>
        <w:pStyle w:val="MAPPA-Bodytext"/>
        <w:rPr>
          <w:lang w:val="en-GB"/>
        </w:rPr>
      </w:pPr>
      <w:r>
        <w:rPr>
          <w:lang w:val="en-GB"/>
        </w:rPr>
        <w:t>Senior Probation Officer</w:t>
      </w:r>
    </w:p>
    <w:p w14:paraId="13E2AE10" w14:textId="77777777" w:rsidR="005C6F05" w:rsidRDefault="005C6F05" w:rsidP="005C6F05">
      <w:pPr>
        <w:spacing w:line="288" w:lineRule="auto"/>
        <w:rPr>
          <w:rFonts w:ascii="Arial" w:hAnsi="Arial" w:cs="Arial"/>
          <w:b/>
          <w:bCs/>
          <w:color w:val="7030A0"/>
          <w:sz w:val="20"/>
          <w:szCs w:val="20"/>
          <w:lang w:val="en-US"/>
        </w:rPr>
      </w:pPr>
      <w:r>
        <w:rPr>
          <w:rFonts w:ascii="Arial" w:hAnsi="Arial" w:cs="Arial"/>
          <w:b/>
          <w:bCs/>
          <w:color w:val="7030A0"/>
          <w:sz w:val="20"/>
          <w:szCs w:val="20"/>
          <w:lang w:val="en-US"/>
        </w:rPr>
        <w:t>West Midlands Region Victim Liaison Unit</w:t>
      </w:r>
    </w:p>
    <w:p w14:paraId="3E511D06" w14:textId="77777777" w:rsidR="00332EE6" w:rsidRPr="00B510E5" w:rsidRDefault="00332EE6" w:rsidP="00B510E5">
      <w:pPr>
        <w:pStyle w:val="MAPPA-Bodytext"/>
        <w:rPr>
          <w:sz w:val="24"/>
          <w:szCs w:val="24"/>
          <w:lang w:val="en-GB"/>
        </w:rPr>
      </w:pPr>
    </w:p>
    <w:p w14:paraId="7E9ED5F4" w14:textId="77777777" w:rsidR="00332EE6" w:rsidRPr="00B01E0C" w:rsidRDefault="00332EE6" w:rsidP="00332EE6">
      <w:pPr>
        <w:pStyle w:val="MAPPA-Bodytext"/>
        <w:rPr>
          <w:szCs w:val="28"/>
          <w:lang w:val="en-GB"/>
        </w:rPr>
      </w:pP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5C66D058" w14:textId="77777777" w:rsidR="005C6F05" w:rsidRPr="00916D29" w:rsidRDefault="005C6F05" w:rsidP="00332EE6">
      <w:pPr>
        <w:pStyle w:val="MAPPA-Bodytext"/>
        <w:rPr>
          <w:lang w:val="en-GB"/>
        </w:rPr>
      </w:pPr>
    </w:p>
    <w:p w14:paraId="1EDA91ED" w14:textId="77777777" w:rsidR="00332EE6" w:rsidRDefault="00332EE6" w:rsidP="00332EE6">
      <w:pPr>
        <w:pStyle w:val="MAPPA-HeadingPara"/>
        <w:rPr>
          <w:lang w:val="en-GB"/>
        </w:rPr>
      </w:pPr>
    </w:p>
    <w:p w14:paraId="0A30EB00" w14:textId="335A00B9" w:rsidR="005C6F05" w:rsidRPr="00916D29" w:rsidRDefault="005C6F05" w:rsidP="00332EE6">
      <w:pPr>
        <w:pStyle w:val="MAPPA-HeadingPara"/>
        <w:rPr>
          <w:lang w:val="en-GB"/>
        </w:rPr>
        <w:sectPr w:rsidR="005C6F05" w:rsidRPr="00916D29" w:rsidSect="00867C9E">
          <w:footerReference w:type="default" r:id="rId23"/>
          <w:type w:val="continuous"/>
          <w:pgSz w:w="11905" w:h="16837" w:code="9"/>
          <w:pgMar w:top="720" w:right="720" w:bottom="720" w:left="720" w:header="720" w:footer="567" w:gutter="0"/>
          <w:cols w:space="720"/>
          <w:noEndnote/>
        </w:sectPr>
      </w:pPr>
    </w:p>
    <w:p w14:paraId="426C988E" w14:textId="386FC80A" w:rsidR="00332EE6" w:rsidRPr="00916D29" w:rsidRDefault="00332EE6" w:rsidP="00332EE6">
      <w:pPr>
        <w:pStyle w:val="MAPPA-HeadingPara"/>
        <w:rPr>
          <w:lang w:val="en-GB"/>
        </w:rPr>
      </w:pPr>
      <w:r w:rsidRPr="00916D29">
        <w:rPr>
          <w:lang w:val="en-GB"/>
        </w:rPr>
        <w:br w:type="column"/>
      </w:r>
    </w:p>
    <w:p w14:paraId="5B255C0C" w14:textId="77777777" w:rsidR="00332EE6" w:rsidRPr="00916D29" w:rsidRDefault="00332EE6" w:rsidP="00332EE6">
      <w:pPr>
        <w:pStyle w:val="MAPPA-Bodytext"/>
        <w:rPr>
          <w:lang w:val="en-GB"/>
        </w:rPr>
      </w:pPr>
    </w:p>
    <w:p w14:paraId="434917BE" w14:textId="77777777" w:rsidR="00332EE6" w:rsidRPr="00916D29" w:rsidRDefault="00332EE6" w:rsidP="00332EE6">
      <w:pPr>
        <w:pStyle w:val="MAPPA-Bodytext"/>
        <w:rPr>
          <w:szCs w:val="28"/>
          <w:lang w:val="en-GB"/>
        </w:rPr>
      </w:pPr>
    </w:p>
    <w:p w14:paraId="6620B6A1" w14:textId="77777777" w:rsidR="00332EE6" w:rsidRPr="00916D29" w:rsidRDefault="00332EE6" w:rsidP="00332EE6">
      <w:pPr>
        <w:pStyle w:val="MAPPA-Bodytext"/>
        <w:rPr>
          <w:szCs w:val="28"/>
          <w:lang w:val="en-GB"/>
        </w:rPr>
        <w:sectPr w:rsidR="00332EE6" w:rsidRPr="00916D29" w:rsidSect="00867C9E">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000000" w:rsidP="00332EE6">
      <w:pPr>
        <w:pStyle w:val="MAPPA-Bodytext"/>
        <w:jc w:val="center"/>
        <w:rPr>
          <w:b/>
          <w:color w:val="007DC3"/>
          <w:sz w:val="26"/>
          <w:szCs w:val="26"/>
          <w:lang w:val="en-GB"/>
        </w:rPr>
      </w:pPr>
      <w:hyperlink r:id="rId24"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43CCCE70"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5"/>
          <w:pgSz w:w="11905" w:h="16837" w:code="9"/>
          <w:pgMar w:top="720" w:right="720" w:bottom="720" w:left="720" w:header="720" w:footer="567" w:gutter="0"/>
          <w:cols w:space="720"/>
          <w:noEndnote/>
          <w:docGrid w:linePitch="360"/>
        </w:sectPr>
      </w:pPr>
    </w:p>
    <w:p w14:paraId="511E354C" w14:textId="6B53EADE" w:rsidR="0052760C" w:rsidRPr="006954C2" w:rsidRDefault="0052760C" w:rsidP="005A1B9A">
      <w:pPr>
        <w:jc w:val="center"/>
        <w:rPr>
          <w:rFonts w:ascii="Arial" w:hAnsi="Arial" w:cs="Arial"/>
          <w:color w:val="7030A0"/>
        </w:rPr>
      </w:pPr>
    </w:p>
    <w:p w14:paraId="1390E1F0" w14:textId="77777777" w:rsidR="0052760C" w:rsidRPr="006954C2" w:rsidRDefault="0052760C" w:rsidP="005A1B9A">
      <w:pPr>
        <w:jc w:val="center"/>
        <w:rPr>
          <w:rFonts w:ascii="Arial" w:hAnsi="Arial" w:cs="Arial"/>
          <w:color w:val="7030A0"/>
        </w:rPr>
      </w:pPr>
    </w:p>
    <w:p w14:paraId="670A7522" w14:textId="648F9B33" w:rsidR="0052760C" w:rsidRPr="006954C2" w:rsidRDefault="005C6F05" w:rsidP="005A1B9A">
      <w:pPr>
        <w:jc w:val="center"/>
        <w:rPr>
          <w:rFonts w:ascii="Arial" w:hAnsi="Arial" w:cs="Arial"/>
          <w:color w:val="7030A0"/>
        </w:rPr>
      </w:pPr>
      <w:r w:rsidRPr="006954C2">
        <w:rPr>
          <w:noProof/>
          <w:color w:val="7030A0"/>
        </w:rPr>
        <w:drawing>
          <wp:inline distT="0" distB="0" distL="0" distR="0" wp14:anchorId="1AD19A49" wp14:editId="5A91B691">
            <wp:extent cx="1910080" cy="766974"/>
            <wp:effectExtent l="0" t="0" r="0" b="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0080" cy="766974"/>
                    </a:xfrm>
                    <a:prstGeom prst="rect">
                      <a:avLst/>
                    </a:prstGeom>
                    <a:noFill/>
                    <a:ln>
                      <a:noFill/>
                    </a:ln>
                  </pic:spPr>
                </pic:pic>
              </a:graphicData>
            </a:graphic>
          </wp:inline>
        </w:drawing>
      </w:r>
      <w:r w:rsidRPr="006954C2">
        <w:rPr>
          <w:noProof/>
          <w:color w:val="7030A0"/>
        </w:rPr>
        <w:drawing>
          <wp:inline distT="0" distB="0" distL="0" distR="0" wp14:anchorId="7441D65B" wp14:editId="1CC9514E">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024CE8E5" w14:textId="64C510E7" w:rsidR="0052760C" w:rsidRPr="006954C2" w:rsidRDefault="005C6F05" w:rsidP="005A1B9A">
      <w:pPr>
        <w:jc w:val="center"/>
        <w:rPr>
          <w:rFonts w:ascii="Arial" w:hAnsi="Arial" w:cs="Arial"/>
          <w:color w:val="7030A0"/>
        </w:rPr>
      </w:pPr>
      <w:r>
        <w:rPr>
          <w:noProof/>
        </w:rPr>
        <w:drawing>
          <wp:inline distT="0" distB="0" distL="0" distR="0" wp14:anchorId="57D3E047" wp14:editId="13F97F1B">
            <wp:extent cx="1910080" cy="796925"/>
            <wp:effectExtent l="0" t="0" r="0" b="3175"/>
            <wp:docPr id="8" name="Picture 8" descr="wmpblack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mpblackhighres"/>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0080" cy="796925"/>
                    </a:xfrm>
                    <a:prstGeom prst="rect">
                      <a:avLst/>
                    </a:prstGeom>
                    <a:noFill/>
                    <a:ln>
                      <a:noFill/>
                    </a:ln>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77777777" w:rsidR="00900E5D" w:rsidRPr="006954C2" w:rsidRDefault="00900E5D" w:rsidP="005A1B9A">
      <w:pPr>
        <w:jc w:val="center"/>
        <w:rPr>
          <w:rFonts w:ascii="Arial" w:hAnsi="Arial" w:cs="Arial"/>
          <w:color w:val="7030A0"/>
        </w:rPr>
      </w:pPr>
    </w:p>
    <w:p w14:paraId="184D6788" w14:textId="112BCE30" w:rsidR="00DE3907" w:rsidRPr="006954C2" w:rsidRDefault="00DE3907" w:rsidP="005A1B9A">
      <w:pPr>
        <w:jc w:val="center"/>
        <w:rPr>
          <w:rFonts w:ascii="Arial" w:hAnsi="Arial" w:cs="Arial"/>
          <w:b/>
          <w:bCs/>
          <w:color w:val="7030A0"/>
        </w:rPr>
      </w:pP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08DF" w14:textId="77777777" w:rsidR="00C97955" w:rsidRDefault="00C97955" w:rsidP="001A5708">
      <w:pPr>
        <w:pStyle w:val="MAPPA-Bodytext"/>
      </w:pPr>
      <w:r>
        <w:separator/>
      </w:r>
    </w:p>
  </w:endnote>
  <w:endnote w:type="continuationSeparator" w:id="0">
    <w:p w14:paraId="10DF24F4" w14:textId="77777777" w:rsidR="00C97955" w:rsidRDefault="00C97955" w:rsidP="001A5708">
      <w:pPr>
        <w:pStyle w:val="MAPPA-Bodytext"/>
      </w:pPr>
      <w:r>
        <w:continuationSeparator/>
      </w:r>
    </w:p>
  </w:endnote>
  <w:endnote w:type="continuationNotice" w:id="1">
    <w:p w14:paraId="2765AB16" w14:textId="77777777" w:rsidR="00C97955" w:rsidRDefault="00C97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4C37" w14:textId="77777777" w:rsidR="005C6F05" w:rsidRPr="00735E92" w:rsidRDefault="005C6F05"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CAD2" w14:textId="77777777" w:rsidR="00C97955" w:rsidRDefault="00C97955" w:rsidP="001A5708">
      <w:pPr>
        <w:pStyle w:val="MAPPA-Bodytext"/>
      </w:pPr>
      <w:r>
        <w:separator/>
      </w:r>
    </w:p>
  </w:footnote>
  <w:footnote w:type="continuationSeparator" w:id="0">
    <w:p w14:paraId="43E840AE" w14:textId="77777777" w:rsidR="00C97955" w:rsidRDefault="00C97955" w:rsidP="001A5708">
      <w:pPr>
        <w:pStyle w:val="MAPPA-Bodytext"/>
      </w:pPr>
      <w:r>
        <w:continuationSeparator/>
      </w:r>
    </w:p>
  </w:footnote>
  <w:footnote w:type="continuationNotice" w:id="1">
    <w:p w14:paraId="466E6F3E" w14:textId="77777777" w:rsidR="00C97955" w:rsidRDefault="00C979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0"/>
  </w:num>
  <w:num w:numId="2" w16cid:durableId="127555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B6D88"/>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B0EEE"/>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C6F05"/>
    <w:rsid w:val="005D189A"/>
    <w:rsid w:val="005E1880"/>
    <w:rsid w:val="005E20D8"/>
    <w:rsid w:val="005F006A"/>
    <w:rsid w:val="005F4133"/>
    <w:rsid w:val="006231D6"/>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61E84"/>
    <w:rsid w:val="00782444"/>
    <w:rsid w:val="00783E05"/>
    <w:rsid w:val="00786A3A"/>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15B2"/>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62DB"/>
    <w:rsid w:val="00B95D2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15FC"/>
    <w:rsid w:val="00C36FD4"/>
    <w:rsid w:val="00C40C02"/>
    <w:rsid w:val="00C43DF3"/>
    <w:rsid w:val="00C449EC"/>
    <w:rsid w:val="00C467F2"/>
    <w:rsid w:val="00C53F03"/>
    <w:rsid w:val="00C63A41"/>
    <w:rsid w:val="00C65680"/>
    <w:rsid w:val="00C83D0E"/>
    <w:rsid w:val="00C87622"/>
    <w:rsid w:val="00C91687"/>
    <w:rsid w:val="00C97955"/>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25AD"/>
    <w:rsid w:val="00F53711"/>
    <w:rsid w:val="00F53D72"/>
    <w:rsid w:val="00F62E0C"/>
    <w:rsid w:val="00F672E9"/>
    <w:rsid w:val="00F762D0"/>
    <w:rsid w:val="00F83EB4"/>
    <w:rsid w:val="00F967D7"/>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0170">
      <w:bodyDiv w:val="1"/>
      <w:marLeft w:val="0"/>
      <w:marRight w:val="0"/>
      <w:marTop w:val="0"/>
      <w:marBottom w:val="0"/>
      <w:divBdr>
        <w:top w:val="none" w:sz="0" w:space="0" w:color="auto"/>
        <w:left w:val="none" w:sz="0" w:space="0" w:color="auto"/>
        <w:bottom w:val="none" w:sz="0" w:space="0" w:color="auto"/>
        <w:right w:val="none" w:sz="0" w:space="0" w:color="auto"/>
      </w:divBdr>
    </w:div>
    <w:div w:id="124809464">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478615468">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28931958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9923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multi-agency-public-protection-arrangements-review"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v.uk"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image" Target="media/image5.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customXml/itemProps2.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3.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4.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14</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2023-10-23T12:51:00Z</dcterms:created>
  <dcterms:modified xsi:type="dcterms:W3CDTF">2023-10-23T13:54:00Z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