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A6E7" w14:textId="1810030D"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56D15C30" wp14:editId="7B1C3A42">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p>
    <w:p w14:paraId="463A8FBC" w14:textId="5BD3AAE4" w:rsidR="003C0362" w:rsidRDefault="00975489" w:rsidP="003C0362">
      <w:pPr>
        <w:pStyle w:val="Default"/>
        <w:jc w:val="right"/>
        <w:rPr>
          <w:rStyle w:val="IntenseReference"/>
          <w:rFonts w:ascii="Arial" w:hAnsi="Arial" w:cs="Arial"/>
          <w:b w:val="0"/>
          <w:color w:val="7030A0"/>
          <w:sz w:val="100"/>
          <w:szCs w:val="100"/>
        </w:rPr>
      </w:pPr>
      <w:r>
        <w:rPr>
          <w:rStyle w:val="IntenseReference"/>
          <w:rFonts w:ascii="Arial" w:hAnsi="Arial" w:cs="Arial"/>
          <w:b w:val="0"/>
          <w:color w:val="7030A0"/>
          <w:sz w:val="100"/>
          <w:szCs w:val="100"/>
        </w:rPr>
        <w:t>Nottinghamshire</w:t>
      </w:r>
    </w:p>
    <w:p w14:paraId="1F59C8E8" w14:textId="77777777" w:rsidR="000B5BFA" w:rsidRDefault="000B5BFA" w:rsidP="003C0362">
      <w:pPr>
        <w:pStyle w:val="Default"/>
        <w:jc w:val="right"/>
        <w:rPr>
          <w:rStyle w:val="IntenseReference"/>
          <w:rFonts w:ascii="Arial" w:hAnsi="Arial" w:cs="Arial"/>
          <w:bCs w:val="0"/>
          <w:smallCaps w:val="0"/>
          <w:color w:val="7030A0"/>
          <w:spacing w:val="0"/>
          <w:sz w:val="16"/>
          <w:szCs w:val="16"/>
        </w:rPr>
        <w:sectPr w:rsidR="000B5BFA" w:rsidSect="000B5BFA">
          <w:headerReference w:type="even" r:id="rId12"/>
          <w:headerReference w:type="default" r:id="rId13"/>
          <w:footerReference w:type="even" r:id="rId14"/>
          <w:footerReference w:type="default" r:id="rId15"/>
          <w:headerReference w:type="first" r:id="rId16"/>
          <w:footerReference w:type="first" r:id="rId17"/>
          <w:type w:val="continuous"/>
          <w:pgSz w:w="11905" w:h="16837" w:code="9"/>
          <w:pgMar w:top="720" w:right="720" w:bottom="720" w:left="567" w:header="720" w:footer="567" w:gutter="0"/>
          <w:cols w:space="720"/>
          <w:noEndnote/>
        </w:sectPr>
      </w:pPr>
    </w:p>
    <w:p w14:paraId="78CEABCA" w14:textId="77777777" w:rsidR="000B5BFA" w:rsidRPr="000B5BFA" w:rsidRDefault="000B5BFA" w:rsidP="003C0362">
      <w:pPr>
        <w:pStyle w:val="Default"/>
        <w:jc w:val="right"/>
        <w:rPr>
          <w:rStyle w:val="IntenseReference"/>
          <w:rFonts w:ascii="Arial" w:hAnsi="Arial" w:cs="Arial"/>
          <w:bCs w:val="0"/>
          <w:smallCaps w:val="0"/>
          <w:color w:val="7030A0"/>
          <w:spacing w:val="0"/>
          <w:sz w:val="16"/>
          <w:szCs w:val="16"/>
        </w:rPr>
      </w:pPr>
    </w:p>
    <w:p w14:paraId="4FA8F265" w14:textId="77777777" w:rsidR="00DE3907" w:rsidRPr="0069414D" w:rsidRDefault="003C0362" w:rsidP="00233AB5">
      <w:pPr>
        <w:pStyle w:val="Default"/>
        <w:rPr>
          <w:rFonts w:ascii="Arial" w:hAnsi="Arial" w:cs="Arial"/>
          <w:b/>
          <w:color w:val="7030A0"/>
          <w:sz w:val="72"/>
          <w:szCs w:val="72"/>
        </w:rPr>
      </w:pPr>
      <w:r w:rsidRPr="0069414D">
        <w:rPr>
          <w:noProof/>
          <w:color w:val="7030A0"/>
        </w:rPr>
        <w:drawing>
          <wp:inline distT="0" distB="0" distL="0" distR="0" wp14:anchorId="30215DED" wp14:editId="244DB8E5">
            <wp:extent cx="7245350" cy="6025074"/>
            <wp:effectExtent l="57150" t="0" r="50800" b="109220"/>
            <wp:docPr id="2" name="Picture 2"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les of Justice"/>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7278559" cy="605269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1F67E808" w14:textId="77777777" w:rsidR="00DE3907" w:rsidRPr="0069414D" w:rsidRDefault="00DE3907" w:rsidP="00233AB5">
      <w:pPr>
        <w:pStyle w:val="Default"/>
        <w:rPr>
          <w:rFonts w:ascii="Arial" w:hAnsi="Arial" w:cs="Arial"/>
          <w:b/>
          <w:color w:val="7030A0"/>
          <w:sz w:val="72"/>
          <w:szCs w:val="72"/>
        </w:rPr>
      </w:pPr>
    </w:p>
    <w:p w14:paraId="703D3E7D" w14:textId="77777777" w:rsidR="00DE3907" w:rsidRPr="0069414D" w:rsidRDefault="00DE3907" w:rsidP="00233AB5">
      <w:pPr>
        <w:pStyle w:val="Default"/>
        <w:rPr>
          <w:rFonts w:ascii="Arial" w:hAnsi="Arial" w:cs="Arial"/>
          <w:b/>
          <w:color w:val="7030A0"/>
          <w:sz w:val="72"/>
          <w:szCs w:val="72"/>
        </w:rPr>
      </w:pPr>
    </w:p>
    <w:p w14:paraId="624FCD30" w14:textId="77777777" w:rsidR="000B5BFA" w:rsidRDefault="000B5BFA" w:rsidP="00233AB5">
      <w:pPr>
        <w:pStyle w:val="Default"/>
        <w:rPr>
          <w:rFonts w:ascii="Arial" w:hAnsi="Arial" w:cs="Arial"/>
          <w:b/>
          <w:color w:val="7030A0"/>
          <w:sz w:val="72"/>
          <w:szCs w:val="72"/>
        </w:rPr>
        <w:sectPr w:rsidR="000B5BFA" w:rsidSect="000B5BFA">
          <w:type w:val="continuous"/>
          <w:pgSz w:w="11905" w:h="16837" w:code="9"/>
          <w:pgMar w:top="720" w:right="720" w:bottom="720" w:left="170" w:header="720" w:footer="567" w:gutter="0"/>
          <w:cols w:space="720"/>
          <w:noEndnote/>
        </w:sectPr>
      </w:pPr>
    </w:p>
    <w:p w14:paraId="78933B77" w14:textId="77777777" w:rsidR="009311B4" w:rsidRPr="0069414D" w:rsidRDefault="009311B4" w:rsidP="00233AB5">
      <w:pPr>
        <w:pStyle w:val="Default"/>
        <w:rPr>
          <w:rFonts w:ascii="Arial" w:hAnsi="Arial" w:cs="Arial"/>
          <w:b/>
          <w:color w:val="7030A0"/>
          <w:sz w:val="72"/>
          <w:szCs w:val="72"/>
        </w:rPr>
      </w:pPr>
    </w:p>
    <w:p w14:paraId="435D4063" w14:textId="77777777" w:rsidR="009311B4" w:rsidRPr="0069414D" w:rsidRDefault="009311B4" w:rsidP="00233AB5">
      <w:pPr>
        <w:pStyle w:val="Default"/>
        <w:rPr>
          <w:rFonts w:ascii="Arial" w:hAnsi="Arial" w:cs="Arial"/>
          <w:b/>
          <w:color w:val="7030A0"/>
          <w:sz w:val="72"/>
          <w:szCs w:val="72"/>
        </w:rPr>
      </w:pPr>
    </w:p>
    <w:p w14:paraId="6B7BEF0D" w14:textId="77777777" w:rsidR="009311B4" w:rsidRPr="0069414D" w:rsidRDefault="009311B4" w:rsidP="00233AB5">
      <w:pPr>
        <w:pStyle w:val="Default"/>
        <w:rPr>
          <w:rFonts w:ascii="Arial" w:hAnsi="Arial" w:cs="Arial"/>
          <w:b/>
          <w:color w:val="7030A0"/>
          <w:sz w:val="72"/>
          <w:szCs w:val="72"/>
        </w:rPr>
      </w:pPr>
    </w:p>
    <w:p w14:paraId="0C8EC4CE" w14:textId="77777777" w:rsidR="00DE3907" w:rsidRPr="0069414D" w:rsidRDefault="00DE3907" w:rsidP="00233AB5">
      <w:pPr>
        <w:pStyle w:val="Default"/>
        <w:rPr>
          <w:rFonts w:ascii="Arial" w:hAnsi="Arial" w:cs="Arial"/>
          <w:b/>
          <w:color w:val="7030A0"/>
          <w:sz w:val="72"/>
          <w:szCs w:val="72"/>
        </w:rPr>
      </w:pPr>
    </w:p>
    <w:p w14:paraId="5C20C8B5" w14:textId="77777777" w:rsidR="00DE3907" w:rsidRPr="0069414D" w:rsidRDefault="00DE3907" w:rsidP="00233AB5">
      <w:pPr>
        <w:pStyle w:val="Default"/>
        <w:rPr>
          <w:rFonts w:ascii="Arial" w:hAnsi="Arial" w:cs="Arial"/>
          <w:b/>
          <w:color w:val="7030A0"/>
          <w:sz w:val="72"/>
          <w:szCs w:val="72"/>
        </w:rPr>
      </w:pPr>
    </w:p>
    <w:p w14:paraId="70C0B898" w14:textId="77777777" w:rsidR="00DE3907" w:rsidRPr="0069414D" w:rsidRDefault="00DE3907" w:rsidP="00233AB5">
      <w:pPr>
        <w:pStyle w:val="Default"/>
        <w:rPr>
          <w:rFonts w:ascii="Arial" w:hAnsi="Arial" w:cs="Arial"/>
          <w:b/>
          <w:color w:val="7030A0"/>
          <w:sz w:val="72"/>
          <w:szCs w:val="72"/>
        </w:rPr>
      </w:pPr>
    </w:p>
    <w:p w14:paraId="2C768E30" w14:textId="77777777" w:rsidR="00DE3907" w:rsidRPr="0069414D" w:rsidRDefault="00DE3907" w:rsidP="00233AB5">
      <w:pPr>
        <w:pStyle w:val="Default"/>
        <w:rPr>
          <w:rFonts w:ascii="Arial" w:hAnsi="Arial" w:cs="Arial"/>
          <w:b/>
          <w:color w:val="7030A0"/>
          <w:sz w:val="72"/>
          <w:szCs w:val="72"/>
        </w:rPr>
      </w:pPr>
    </w:p>
    <w:p w14:paraId="5B39A1BA" w14:textId="77777777" w:rsidR="00DE3907" w:rsidRPr="0069414D" w:rsidRDefault="00DE3907" w:rsidP="00233AB5">
      <w:pPr>
        <w:pStyle w:val="Default"/>
        <w:rPr>
          <w:rFonts w:ascii="Arial" w:hAnsi="Arial" w:cs="Arial"/>
          <w:color w:val="7030A0"/>
          <w:sz w:val="68"/>
          <w:szCs w:val="68"/>
        </w:rPr>
      </w:pPr>
    </w:p>
    <w:p w14:paraId="4CFE31B0" w14:textId="77777777" w:rsidR="00DE3907" w:rsidRPr="0069414D" w:rsidRDefault="00DE3907" w:rsidP="00233AB5">
      <w:pPr>
        <w:pStyle w:val="Default"/>
        <w:rPr>
          <w:rFonts w:ascii="Arial" w:hAnsi="Arial" w:cs="Arial"/>
          <w:color w:val="7030A0"/>
          <w:sz w:val="68"/>
          <w:szCs w:val="68"/>
        </w:rPr>
      </w:pPr>
    </w:p>
    <w:p w14:paraId="4EC513F7" w14:textId="77777777" w:rsidR="009311B4" w:rsidRPr="0069414D" w:rsidRDefault="009311B4" w:rsidP="00233AB5">
      <w:pPr>
        <w:pStyle w:val="Default"/>
        <w:rPr>
          <w:rFonts w:ascii="Arial" w:hAnsi="Arial" w:cs="Arial"/>
          <w:color w:val="7030A0"/>
          <w:sz w:val="68"/>
          <w:szCs w:val="68"/>
        </w:rPr>
      </w:pPr>
    </w:p>
    <w:p w14:paraId="799BBB33" w14:textId="417C69B9" w:rsidR="009311B4" w:rsidRPr="0069414D" w:rsidRDefault="000865E1" w:rsidP="00233AB5">
      <w:pPr>
        <w:pStyle w:val="Default"/>
        <w:rPr>
          <w:rFonts w:ascii="Arial" w:hAnsi="Arial" w:cs="Arial"/>
          <w:color w:val="7030A0"/>
          <w:sz w:val="100"/>
          <w:szCs w:val="100"/>
        </w:rPr>
        <w:sectPr w:rsidR="009311B4" w:rsidRPr="0069414D" w:rsidSect="000B5BFA">
          <w:type w:val="continuous"/>
          <w:pgSz w:w="11905" w:h="16837" w:code="9"/>
          <w:pgMar w:top="720" w:right="720" w:bottom="720" w:left="567" w:header="720" w:footer="567" w:gutter="0"/>
          <w:cols w:space="720"/>
          <w:noEndnote/>
        </w:sectPr>
      </w:pPr>
      <w:r>
        <w:rPr>
          <w:rFonts w:ascii="Arial" w:hAnsi="Arial" w:cs="Arial"/>
          <w:color w:val="7030A0"/>
          <w:sz w:val="100"/>
          <w:szCs w:val="100"/>
        </w:rPr>
        <w:t>202</w:t>
      </w:r>
      <w:r w:rsidR="00AB164C">
        <w:rPr>
          <w:rFonts w:ascii="Arial" w:hAnsi="Arial" w:cs="Arial"/>
          <w:color w:val="7030A0"/>
          <w:sz w:val="100"/>
          <w:szCs w:val="100"/>
        </w:rPr>
        <w:t>2/</w:t>
      </w:r>
      <w:r w:rsidR="00BE68F4">
        <w:rPr>
          <w:rFonts w:ascii="Arial" w:hAnsi="Arial" w:cs="Arial"/>
          <w:color w:val="7030A0"/>
          <w:sz w:val="100"/>
          <w:szCs w:val="100"/>
        </w:rPr>
        <w:t>2</w:t>
      </w:r>
      <w:r w:rsidR="00AB164C">
        <w:rPr>
          <w:rFonts w:ascii="Arial" w:hAnsi="Arial" w:cs="Arial"/>
          <w:color w:val="7030A0"/>
          <w:sz w:val="100"/>
          <w:szCs w:val="100"/>
        </w:rPr>
        <w:t>3</w:t>
      </w:r>
      <w:r w:rsidR="00051427">
        <w:rPr>
          <w:rFonts w:ascii="Arial" w:hAnsi="Arial" w:cs="Arial"/>
          <w:color w:val="7030A0"/>
          <w:sz w:val="100"/>
          <w:szCs w:val="100"/>
        </w:rPr>
        <w:t xml:space="preserve"> </w:t>
      </w:r>
      <w:r w:rsidR="003C0362" w:rsidRPr="0069414D">
        <w:rPr>
          <w:rFonts w:ascii="Arial" w:hAnsi="Arial" w:cs="Arial"/>
          <w:color w:val="7030A0"/>
          <w:sz w:val="100"/>
          <w:szCs w:val="100"/>
        </w:rPr>
        <w:t>Annual Report</w:t>
      </w:r>
    </w:p>
    <w:p w14:paraId="666996E0" w14:textId="77777777" w:rsidR="00332EE6" w:rsidRPr="0069414D" w:rsidRDefault="00332EE6" w:rsidP="00332EE6">
      <w:pPr>
        <w:pStyle w:val="MAPPA-Heaingsection"/>
        <w:rPr>
          <w:color w:val="7030A0"/>
        </w:rPr>
      </w:pPr>
      <w:r w:rsidRPr="0069414D">
        <w:rPr>
          <w:color w:val="7030A0"/>
        </w:rPr>
        <w:lastRenderedPageBreak/>
        <w:t>Intro</w:t>
      </w:r>
      <w:r w:rsidR="000865E1">
        <w:rPr>
          <w:color w:val="7030A0"/>
        </w:rPr>
        <w:t>duction</w:t>
      </w:r>
    </w:p>
    <w:p w14:paraId="7BCDF93F"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7DFD8FA" w14:textId="4D71F96B" w:rsidR="00332EE6" w:rsidRDefault="00332EE6" w:rsidP="00332EE6">
      <w:pPr>
        <w:pStyle w:val="Default"/>
        <w:rPr>
          <w:rFonts w:ascii="Arial" w:hAnsi="Arial" w:cs="Arial"/>
          <w:color w:val="FFFFFF"/>
          <w:sz w:val="20"/>
          <w:szCs w:val="20"/>
        </w:rPr>
      </w:pPr>
    </w:p>
    <w:p w14:paraId="5193C8A9" w14:textId="77777777" w:rsidR="00332EE6" w:rsidRDefault="00332EE6" w:rsidP="00332EE6">
      <w:pPr>
        <w:pStyle w:val="Default"/>
        <w:rPr>
          <w:rFonts w:ascii="Arial" w:hAnsi="Arial" w:cs="Arial"/>
          <w:color w:val="FFFFFF"/>
          <w:sz w:val="20"/>
          <w:szCs w:val="20"/>
        </w:rPr>
        <w:sectPr w:rsidR="00332EE6" w:rsidSect="00867C9E">
          <w:footerReference w:type="first" r:id="rId19"/>
          <w:pgSz w:w="11905" w:h="16837" w:code="9"/>
          <w:pgMar w:top="720" w:right="720" w:bottom="720" w:left="720" w:header="720" w:footer="567" w:gutter="0"/>
          <w:pgNumType w:start="1"/>
          <w:cols w:space="720"/>
          <w:noEndnote/>
          <w:titlePg/>
        </w:sectPr>
      </w:pPr>
    </w:p>
    <w:p w14:paraId="2D85CD11" w14:textId="77777777" w:rsidR="00332EE6" w:rsidRDefault="00332EE6" w:rsidP="00332EE6">
      <w:pPr>
        <w:pStyle w:val="Default"/>
        <w:rPr>
          <w:rFonts w:ascii="Arial" w:hAnsi="Arial" w:cs="Arial"/>
          <w:color w:val="FFFFFF"/>
          <w:sz w:val="20"/>
          <w:szCs w:val="20"/>
        </w:rPr>
      </w:pPr>
    </w:p>
    <w:p w14:paraId="381FFB2E" w14:textId="75371F92" w:rsidR="0028230C" w:rsidRDefault="0028230C" w:rsidP="0028230C">
      <w:pPr>
        <w:pStyle w:val="MAPPA-Bodytext"/>
        <w:rPr>
          <w:szCs w:val="20"/>
        </w:rPr>
      </w:pPr>
      <w:r>
        <w:rPr>
          <w:szCs w:val="20"/>
        </w:rPr>
        <w:t xml:space="preserve">Despite the unprecedented challenges and difficulties our agencies and organisations have faced over the last year, we are grateful for the commitment and dedication displayed across all of our areas, which has allowed our MAPPA and other critical processes to continue uninterrupted. </w:t>
      </w:r>
    </w:p>
    <w:p w14:paraId="0118DE92" w14:textId="0098AEA7" w:rsidR="00247F7E" w:rsidRDefault="000865E1" w:rsidP="00332EE6">
      <w:pPr>
        <w:pStyle w:val="MAPPA-Bodytext"/>
      </w:pPr>
      <w:r>
        <w:t>Our twent</w:t>
      </w:r>
      <w:r w:rsidR="00775A20">
        <w:t>y-</w:t>
      </w:r>
      <w:r w:rsidR="00AB164C">
        <w:t>second</w:t>
      </w:r>
      <w:r>
        <w:t xml:space="preserve"> Multi-Agency Public Protection Arrangements (MAPPA) annual report offers an opportunity to demonstrate our commitment and accountability to the communities of Nottinghamshire for the management of the most dangerous violent and sexual offenders living within our county. Within this report there are statistics listing the number of MAPPA offenders living within our communities as well as describing work that is undertaken by the involved agencies to ensure our communities remain safe. </w:t>
      </w:r>
    </w:p>
    <w:p w14:paraId="321F2EE7" w14:textId="3B532600" w:rsidR="00247F7E" w:rsidRDefault="000865E1" w:rsidP="00332EE6">
      <w:pPr>
        <w:pStyle w:val="MAPPA-Bodytext"/>
      </w:pPr>
      <w:r>
        <w:t xml:space="preserve">Serious sexual and violent offending consistently represents only a small proportion of all recorded crime; however its impact in terms of public safety and confidence is significant. We recognise and understand these concerns and work tirelessly on your behalf to ensure the MAPPA arrangements are robust and that agencies work closely together to manage the most dangerous offenders within our society. </w:t>
      </w:r>
    </w:p>
    <w:p w14:paraId="71571FAB" w14:textId="2B3EDE80" w:rsidR="00247F7E" w:rsidRDefault="000865E1" w:rsidP="00332EE6">
      <w:pPr>
        <w:pStyle w:val="MAPPA-Bodytext"/>
      </w:pPr>
      <w:r>
        <w:t xml:space="preserve">Whilst MAPPA management cannot totally eradicate the risks posed by these offenders, you should be reassured that there are strong and embedded working relationships between agencies in Nottinghamshire who together ensure that all possible measures are undertaken to manage the most dangerous MAPPA offenders and keep you safe. </w:t>
      </w:r>
    </w:p>
    <w:p w14:paraId="3666E0F7" w14:textId="0A07766E" w:rsidR="00247F7E" w:rsidRDefault="000865E1" w:rsidP="00332EE6">
      <w:pPr>
        <w:pStyle w:val="MAPPA-Bodytext"/>
      </w:pPr>
      <w:r>
        <w:t xml:space="preserve">Despite the backdrop of budget constraints all agencies involved with MAPPA remain committed to providing the best possible service. </w:t>
      </w:r>
    </w:p>
    <w:p w14:paraId="23D12CF0" w14:textId="2A9C6635" w:rsidR="00332E70" w:rsidRDefault="000865E1" w:rsidP="00332EE6">
      <w:pPr>
        <w:pStyle w:val="MAPPA-Bodytext"/>
      </w:pPr>
      <w:r>
        <w:t xml:space="preserve">Public Protection remains a complex and challenging area of work for all involved. We acknowledge this and wish to thank all our colleagues for their continued commitment and dedication. </w:t>
      </w:r>
    </w:p>
    <w:p w14:paraId="229AE48E" w14:textId="77777777" w:rsidR="0061276D" w:rsidRDefault="0061276D" w:rsidP="0061276D">
      <w:pPr>
        <w:rPr>
          <w:rFonts w:ascii="Arial" w:hAnsi="Arial" w:cs="Arial"/>
          <w:b/>
          <w:color w:val="548DD4" w:themeColor="text2" w:themeTint="99"/>
          <w:sz w:val="20"/>
          <w:szCs w:val="20"/>
        </w:rPr>
      </w:pPr>
    </w:p>
    <w:p w14:paraId="329D25EA" w14:textId="0755901A" w:rsidR="0061276D" w:rsidRPr="001C5724" w:rsidRDefault="001C5724" w:rsidP="0061276D">
      <w:pPr>
        <w:rPr>
          <w:rFonts w:ascii="Arial" w:hAnsi="Arial" w:cs="Arial"/>
          <w:b/>
          <w:sz w:val="20"/>
          <w:szCs w:val="20"/>
        </w:rPr>
      </w:pPr>
      <w:r w:rsidRPr="001C5724">
        <w:rPr>
          <w:rFonts w:ascii="Arial" w:hAnsi="Arial" w:cs="Arial"/>
          <w:b/>
          <w:sz w:val="20"/>
          <w:szCs w:val="20"/>
        </w:rPr>
        <w:t>Nottinghamshire MAPPA Leads</w:t>
      </w:r>
      <w:r>
        <w:rPr>
          <w:rFonts w:ascii="Arial" w:hAnsi="Arial" w:cs="Arial"/>
          <w:b/>
          <w:sz w:val="20"/>
          <w:szCs w:val="20"/>
        </w:rPr>
        <w:t>:</w:t>
      </w:r>
    </w:p>
    <w:p w14:paraId="6A5ECDC5" w14:textId="77777777" w:rsidR="001C5724" w:rsidRPr="001C5724" w:rsidRDefault="001C5724" w:rsidP="0061276D">
      <w:pPr>
        <w:rPr>
          <w:rFonts w:ascii="Arial" w:hAnsi="Arial" w:cs="Arial"/>
          <w:b/>
          <w:sz w:val="20"/>
          <w:szCs w:val="20"/>
        </w:rPr>
      </w:pPr>
    </w:p>
    <w:p w14:paraId="18226455" w14:textId="3A366F0F" w:rsidR="0061276D" w:rsidRPr="001560D7" w:rsidRDefault="0061276D" w:rsidP="0061276D">
      <w:pPr>
        <w:rPr>
          <w:rFonts w:ascii="Arial" w:hAnsi="Arial" w:cs="Arial"/>
          <w:b/>
          <w:sz w:val="20"/>
          <w:szCs w:val="20"/>
        </w:rPr>
      </w:pPr>
      <w:r w:rsidRPr="001560D7">
        <w:rPr>
          <w:rFonts w:ascii="Arial" w:hAnsi="Arial" w:cs="Arial"/>
          <w:b/>
          <w:sz w:val="20"/>
          <w:szCs w:val="20"/>
        </w:rPr>
        <w:t xml:space="preserve">Detective Superintendent </w:t>
      </w:r>
      <w:r w:rsidR="00AB164C">
        <w:rPr>
          <w:rFonts w:ascii="Arial" w:hAnsi="Arial" w:cs="Arial"/>
          <w:b/>
          <w:sz w:val="20"/>
          <w:szCs w:val="20"/>
        </w:rPr>
        <w:t>Natasha Todd</w:t>
      </w:r>
    </w:p>
    <w:p w14:paraId="7A6FD177" w14:textId="77777777" w:rsidR="0061276D" w:rsidRPr="001560D7" w:rsidRDefault="0061276D" w:rsidP="0061276D">
      <w:pPr>
        <w:rPr>
          <w:rFonts w:ascii="Arial" w:hAnsi="Arial" w:cs="Arial"/>
          <w:sz w:val="20"/>
          <w:szCs w:val="20"/>
        </w:rPr>
      </w:pPr>
      <w:r w:rsidRPr="001560D7">
        <w:rPr>
          <w:rFonts w:ascii="Arial" w:hAnsi="Arial" w:cs="Arial"/>
          <w:sz w:val="20"/>
          <w:szCs w:val="20"/>
        </w:rPr>
        <w:t>Head of Public Protection</w:t>
      </w:r>
    </w:p>
    <w:p w14:paraId="2EC3B21A" w14:textId="51C450AF" w:rsidR="0061276D" w:rsidRPr="001C5724" w:rsidRDefault="0061276D" w:rsidP="0061276D">
      <w:pPr>
        <w:rPr>
          <w:rFonts w:ascii="Arial" w:hAnsi="Arial" w:cs="Arial"/>
          <w:sz w:val="20"/>
          <w:szCs w:val="20"/>
        </w:rPr>
      </w:pPr>
      <w:r w:rsidRPr="001560D7">
        <w:rPr>
          <w:rFonts w:ascii="Arial" w:hAnsi="Arial" w:cs="Arial"/>
          <w:sz w:val="20"/>
          <w:szCs w:val="20"/>
        </w:rPr>
        <w:t>Nottinghamshire Police</w:t>
      </w:r>
    </w:p>
    <w:p w14:paraId="735818C5" w14:textId="77777777" w:rsidR="0061276D" w:rsidRPr="001560D7" w:rsidRDefault="0061276D" w:rsidP="0061276D">
      <w:pPr>
        <w:rPr>
          <w:rFonts w:ascii="Arial" w:hAnsi="Arial" w:cs="Arial"/>
          <w:sz w:val="20"/>
          <w:szCs w:val="20"/>
        </w:rPr>
      </w:pPr>
    </w:p>
    <w:p w14:paraId="67F1DCBB" w14:textId="44ADDD75" w:rsidR="0061276D" w:rsidRPr="001C5724" w:rsidRDefault="0061276D" w:rsidP="0061276D">
      <w:pPr>
        <w:rPr>
          <w:rFonts w:ascii="Arial" w:hAnsi="Arial" w:cs="Arial"/>
          <w:b/>
          <w:sz w:val="20"/>
          <w:szCs w:val="22"/>
        </w:rPr>
      </w:pPr>
    </w:p>
    <w:p w14:paraId="18C0B13B" w14:textId="6CE8B492" w:rsidR="0061276D" w:rsidRPr="001C5724" w:rsidRDefault="0061276D" w:rsidP="0061276D">
      <w:pPr>
        <w:rPr>
          <w:rFonts w:ascii="Arial" w:hAnsi="Arial" w:cs="Arial"/>
          <w:b/>
          <w:sz w:val="20"/>
          <w:szCs w:val="22"/>
        </w:rPr>
      </w:pPr>
      <w:r w:rsidRPr="001C5724">
        <w:rPr>
          <w:rFonts w:ascii="Arial" w:hAnsi="Arial" w:cs="Arial"/>
          <w:b/>
          <w:sz w:val="20"/>
          <w:szCs w:val="22"/>
        </w:rPr>
        <w:t>Saika Jabeen</w:t>
      </w:r>
      <w:r w:rsidR="009D1E05">
        <w:rPr>
          <w:rFonts w:ascii="Arial" w:hAnsi="Arial" w:cs="Arial"/>
          <w:b/>
          <w:sz w:val="20"/>
          <w:szCs w:val="22"/>
        </w:rPr>
        <w:t xml:space="preserve"> OBE</w:t>
      </w:r>
    </w:p>
    <w:p w14:paraId="335BF309" w14:textId="77777777" w:rsidR="0061276D" w:rsidRPr="001C5724" w:rsidRDefault="0061276D" w:rsidP="0061276D">
      <w:pPr>
        <w:rPr>
          <w:rFonts w:ascii="Arial" w:hAnsi="Arial" w:cs="Arial"/>
          <w:sz w:val="20"/>
          <w:szCs w:val="22"/>
        </w:rPr>
      </w:pPr>
      <w:r w:rsidRPr="001C5724">
        <w:rPr>
          <w:rFonts w:ascii="Arial" w:hAnsi="Arial" w:cs="Arial"/>
          <w:sz w:val="20"/>
          <w:szCs w:val="22"/>
        </w:rPr>
        <w:t xml:space="preserve">Head of Nottinghamshire County </w:t>
      </w:r>
    </w:p>
    <w:p w14:paraId="69876880" w14:textId="15BB3D8C" w:rsidR="0061276D" w:rsidRPr="001C5724" w:rsidRDefault="0061276D" w:rsidP="0061276D">
      <w:pPr>
        <w:rPr>
          <w:rFonts w:ascii="Arial" w:hAnsi="Arial" w:cs="Arial"/>
          <w:sz w:val="20"/>
          <w:szCs w:val="22"/>
        </w:rPr>
      </w:pPr>
      <w:r w:rsidRPr="001C5724">
        <w:rPr>
          <w:rFonts w:ascii="Arial" w:hAnsi="Arial" w:cs="Arial"/>
          <w:sz w:val="20"/>
          <w:szCs w:val="22"/>
        </w:rPr>
        <w:t>Probation Service</w:t>
      </w:r>
    </w:p>
    <w:p w14:paraId="4B34E0A0" w14:textId="77777777" w:rsidR="0061276D" w:rsidRPr="001C5724" w:rsidRDefault="0061276D" w:rsidP="0061276D">
      <w:pPr>
        <w:rPr>
          <w:rFonts w:ascii="Arial" w:hAnsi="Arial" w:cs="Arial"/>
          <w:sz w:val="20"/>
          <w:szCs w:val="22"/>
        </w:rPr>
      </w:pPr>
    </w:p>
    <w:p w14:paraId="7591E511" w14:textId="77777777" w:rsidR="0061276D" w:rsidRPr="001C5724" w:rsidRDefault="0061276D" w:rsidP="0061276D">
      <w:pPr>
        <w:rPr>
          <w:rFonts w:ascii="Arial" w:hAnsi="Arial" w:cs="Arial"/>
          <w:b/>
          <w:sz w:val="20"/>
          <w:szCs w:val="22"/>
        </w:rPr>
      </w:pPr>
    </w:p>
    <w:p w14:paraId="6037AFFE" w14:textId="14CB7F92" w:rsidR="0061276D" w:rsidRPr="001C5724" w:rsidRDefault="0061276D" w:rsidP="0061276D">
      <w:pPr>
        <w:rPr>
          <w:rFonts w:ascii="Arial" w:hAnsi="Arial" w:cs="Arial"/>
          <w:sz w:val="20"/>
          <w:szCs w:val="22"/>
        </w:rPr>
      </w:pPr>
      <w:r w:rsidRPr="001C5724">
        <w:rPr>
          <w:rFonts w:ascii="Arial" w:hAnsi="Arial" w:cs="Arial"/>
          <w:b/>
          <w:sz w:val="20"/>
          <w:szCs w:val="22"/>
        </w:rPr>
        <w:t>An</w:t>
      </w:r>
      <w:r w:rsidR="00C3458D">
        <w:rPr>
          <w:rFonts w:ascii="Arial" w:hAnsi="Arial" w:cs="Arial"/>
          <w:b/>
          <w:sz w:val="20"/>
          <w:szCs w:val="22"/>
        </w:rPr>
        <w:t>gie Petit</w:t>
      </w:r>
    </w:p>
    <w:p w14:paraId="5834B264" w14:textId="77777777" w:rsidR="0061276D" w:rsidRPr="001C5724" w:rsidRDefault="0061276D" w:rsidP="0061276D">
      <w:pPr>
        <w:rPr>
          <w:rFonts w:ascii="Arial" w:hAnsi="Arial" w:cs="Arial"/>
          <w:sz w:val="20"/>
          <w:szCs w:val="22"/>
        </w:rPr>
      </w:pPr>
      <w:r w:rsidRPr="001C5724">
        <w:rPr>
          <w:rFonts w:ascii="Arial" w:hAnsi="Arial" w:cs="Arial"/>
          <w:sz w:val="20"/>
          <w:szCs w:val="22"/>
        </w:rPr>
        <w:t>Governor</w:t>
      </w:r>
    </w:p>
    <w:p w14:paraId="3D21B1B5" w14:textId="7D9BAC7A" w:rsidR="0061276D" w:rsidRPr="001C5724" w:rsidRDefault="0061276D" w:rsidP="0061276D">
      <w:pPr>
        <w:rPr>
          <w:rFonts w:ascii="Arial" w:hAnsi="Arial" w:cs="Arial"/>
          <w:sz w:val="20"/>
          <w:szCs w:val="22"/>
        </w:rPr>
      </w:pPr>
      <w:r w:rsidRPr="001C5724">
        <w:rPr>
          <w:rFonts w:ascii="Arial" w:hAnsi="Arial" w:cs="Arial"/>
          <w:sz w:val="20"/>
          <w:szCs w:val="22"/>
        </w:rPr>
        <w:t>HMP Ranby</w:t>
      </w:r>
    </w:p>
    <w:p w14:paraId="2AB5B86C" w14:textId="6622BA6D" w:rsidR="00332E70" w:rsidRDefault="00332E70" w:rsidP="00332EE6">
      <w:pPr>
        <w:pStyle w:val="MAPPA-Bodytext"/>
      </w:pPr>
    </w:p>
    <w:p w14:paraId="1870DAC8" w14:textId="78AC79B8" w:rsidR="00332E70" w:rsidRDefault="00332E70" w:rsidP="00332EE6">
      <w:pPr>
        <w:pStyle w:val="MAPPA-Bodytext"/>
      </w:pPr>
    </w:p>
    <w:p w14:paraId="3C85F270" w14:textId="253D892C" w:rsidR="00332E70" w:rsidRDefault="00332E70" w:rsidP="00332EE6">
      <w:pPr>
        <w:pStyle w:val="MAPPA-Bodytext"/>
      </w:pPr>
    </w:p>
    <w:p w14:paraId="79B28CF9" w14:textId="524365D8" w:rsidR="00332E70" w:rsidRDefault="00332E70" w:rsidP="00332EE6">
      <w:pPr>
        <w:pStyle w:val="MAPPA-Bodytext"/>
      </w:pPr>
    </w:p>
    <w:p w14:paraId="6DA65A85" w14:textId="52371DCA" w:rsidR="00332EE6" w:rsidRPr="0069414D" w:rsidRDefault="00332EE6" w:rsidP="00332EE6">
      <w:pPr>
        <w:pStyle w:val="MAPPA-Heaingsection"/>
        <w:rPr>
          <w:color w:val="7030A0"/>
        </w:rPr>
      </w:pPr>
      <w:r>
        <w:br w:type="column"/>
      </w:r>
      <w:r w:rsidRPr="0069414D">
        <w:rPr>
          <w:color w:val="7030A0"/>
        </w:rPr>
        <w:lastRenderedPageBreak/>
        <w:t>What is MAPPA?</w:t>
      </w:r>
    </w:p>
    <w:p w14:paraId="21EB9B20"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6AAE95F" w14:textId="77777777" w:rsidR="00332EE6" w:rsidRDefault="00332EE6" w:rsidP="00332EE6">
      <w:pPr>
        <w:pStyle w:val="MAPPA-Bodytext"/>
        <w:sectPr w:rsidR="00332EE6" w:rsidSect="00735E92">
          <w:type w:val="continuous"/>
          <w:pgSz w:w="11905" w:h="16837" w:code="9"/>
          <w:pgMar w:top="720" w:right="720" w:bottom="720" w:left="720" w:header="720" w:footer="567" w:gutter="0"/>
          <w:cols w:space="720"/>
          <w:noEndnote/>
        </w:sectPr>
      </w:pPr>
    </w:p>
    <w:p w14:paraId="45C7DE0B" w14:textId="77777777" w:rsidR="00332EE6" w:rsidRDefault="00332EE6" w:rsidP="00332EE6">
      <w:pPr>
        <w:pStyle w:val="MAPPA-Bodytext"/>
      </w:pPr>
    </w:p>
    <w:p w14:paraId="1F9E217E" w14:textId="77777777" w:rsidR="00332EE6" w:rsidRDefault="00332EE6" w:rsidP="00332EE6">
      <w:pPr>
        <w:pStyle w:val="MAPPA-HeadingPara"/>
        <w:sectPr w:rsidR="00332EE6" w:rsidSect="00867C9E">
          <w:type w:val="continuous"/>
          <w:pgSz w:w="11905" w:h="16837" w:code="9"/>
          <w:pgMar w:top="720" w:right="720" w:bottom="720" w:left="720" w:header="720" w:footer="567" w:gutter="0"/>
          <w:cols w:space="720"/>
          <w:noEndnote/>
        </w:sectPr>
      </w:pPr>
    </w:p>
    <w:p w14:paraId="10779BEB" w14:textId="77777777" w:rsidR="00332EE6" w:rsidRPr="0069414D" w:rsidRDefault="00332EE6" w:rsidP="00332EE6">
      <w:pPr>
        <w:pStyle w:val="MAPPA-HeadingPara"/>
        <w:rPr>
          <w:color w:val="7030A0"/>
        </w:rPr>
      </w:pPr>
      <w:r w:rsidRPr="0069414D">
        <w:rPr>
          <w:color w:val="7030A0"/>
        </w:rPr>
        <w:t>MAPPA background</w:t>
      </w:r>
    </w:p>
    <w:p w14:paraId="57A5423D" w14:textId="77777777" w:rsidR="00332EE6" w:rsidRDefault="00332EE6" w:rsidP="00332EE6">
      <w:pPr>
        <w:pStyle w:val="MAPPA-Bodytext-numbered"/>
        <w:ind w:left="0" w:firstLine="0"/>
      </w:pPr>
      <w:r>
        <w:t>MAPPA (Multi-Agency Public Protection Arrangements) are a set of arrangements to manage the risk posed by the most serious sexual</w:t>
      </w:r>
      <w:r w:rsidR="00332369">
        <w:t>,</w:t>
      </w:r>
      <w:r>
        <w:t xml:space="preserve"> violent </w:t>
      </w:r>
      <w:r w:rsidR="00332369">
        <w:t xml:space="preserve">and terrorist </w:t>
      </w:r>
      <w:r>
        <w:t>offenders (MAPPA-eligible offenders) under the provisions of sections 325 to 327B of the Criminal Justice Act 2003.</w:t>
      </w:r>
    </w:p>
    <w:p w14:paraId="79EAFD04" w14:textId="77777777" w:rsidR="00332EE6" w:rsidRDefault="00332EE6" w:rsidP="00332EE6">
      <w:pPr>
        <w:pStyle w:val="MAPPA-Bodytext-numbered"/>
        <w:ind w:left="0" w:firstLine="0"/>
      </w:pPr>
      <w:r>
        <w:t>They bring together the Police, Probation and Prison Services in each of the 42 Areas in England and Wales into what is known as the MAPPA Responsible Authority.</w:t>
      </w:r>
    </w:p>
    <w:p w14:paraId="46F98102" w14:textId="77777777" w:rsidR="00332EE6" w:rsidRDefault="00332EE6" w:rsidP="00332EE6">
      <w:pPr>
        <w:pStyle w:val="MAPPA-Bodytext-numbered"/>
        <w:ind w:left="0" w:firstLine="0"/>
      </w:pPr>
      <w:r>
        <w:t xml:space="preserve">A number of other agencies are under a Duty to Co-operate (DTC) with the Responsible Authority. These include Social Services, Health </w:t>
      </w:r>
      <w:r w:rsidR="00E6461E">
        <w:t>Services</w:t>
      </w:r>
      <w:r>
        <w:t>, Youth Offending Teams, Jobcentre Plus and Local Housing and Education Authorities.</w:t>
      </w:r>
    </w:p>
    <w:p w14:paraId="6CD6FB9F" w14:textId="77777777" w:rsidR="00332EE6" w:rsidRDefault="00332369" w:rsidP="00332EE6">
      <w:pPr>
        <w:pStyle w:val="MAPPA-Bodytext-numbered"/>
        <w:ind w:left="0" w:firstLine="0"/>
      </w:pPr>
      <w:r>
        <w:t>Local Strategic Management Boards comprising senior representatives from each of the Responsible Authority and DTC agencies</w:t>
      </w:r>
      <w:r w:rsidR="00B27C0E">
        <w:t xml:space="preserve"> </w:t>
      </w:r>
      <w:r>
        <w:t>are responsible for delivering MAPPA with their respective areas.</w:t>
      </w:r>
      <w:r w:rsidR="00B27C0E">
        <w:t xml:space="preserve"> </w:t>
      </w:r>
      <w:r w:rsidR="00332EE6">
        <w:t>The Responsible Authority is</w:t>
      </w:r>
      <w:r>
        <w:t xml:space="preserve"> also</w:t>
      </w:r>
      <w:r w:rsidR="00332EE6">
        <w:t xml:space="preserve"> required to appoint two Lay Advisers to sit on each MAPPA area Strategic Management Board (SMB)</w:t>
      </w:r>
      <w:r>
        <w:t>.</w:t>
      </w:r>
      <w:r w:rsidR="00332EE6">
        <w:t xml:space="preserve"> </w:t>
      </w:r>
    </w:p>
    <w:p w14:paraId="0E7FF10F" w14:textId="77777777" w:rsidR="00332EE6" w:rsidRDefault="00332EE6" w:rsidP="00332EE6">
      <w:pPr>
        <w:pStyle w:val="MAPPA-Bodytext-numbered"/>
        <w:ind w:left="0" w:firstLine="0"/>
      </w:pPr>
      <w:r>
        <w:t>Lay Advisers are members of the public appointed by the Minister with no links to the business of managing MAPPA offenders who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5D4F8E4F" w14:textId="77777777" w:rsidR="00332EE6" w:rsidRPr="0069414D" w:rsidRDefault="00332EE6" w:rsidP="00332EE6">
      <w:pPr>
        <w:pStyle w:val="MAPPA-HeadingPara"/>
        <w:rPr>
          <w:color w:val="7030A0"/>
        </w:rPr>
      </w:pPr>
      <w:r w:rsidRPr="0069414D">
        <w:rPr>
          <w:color w:val="7030A0"/>
        </w:rPr>
        <w:t>How MAPPA works</w:t>
      </w:r>
    </w:p>
    <w:p w14:paraId="50135FF0" w14:textId="77777777" w:rsidR="00332EE6" w:rsidRPr="001F341F" w:rsidRDefault="00332EE6" w:rsidP="00332EE6">
      <w:pPr>
        <w:pStyle w:val="MAPPA-Bodytext"/>
      </w:pPr>
      <w:r w:rsidRPr="001F341F">
        <w:t xml:space="preserve">MAPPA-eligible offenders are identified and information about them is shared </w:t>
      </w:r>
      <w:r>
        <w:t>between</w:t>
      </w:r>
      <w:r w:rsidRPr="001F341F">
        <w:t xml:space="preserve"> agencies to inform </w:t>
      </w:r>
      <w:r>
        <w:t xml:space="preserve">the </w:t>
      </w:r>
      <w:r w:rsidRPr="001F341F">
        <w:t>risk assessments and risk management plans of those managing or supervising them.</w:t>
      </w:r>
    </w:p>
    <w:p w14:paraId="125461F7" w14:textId="77777777" w:rsidR="00332EE6" w:rsidRPr="001F341F" w:rsidRDefault="00332EE6" w:rsidP="00332EE6">
      <w:pPr>
        <w:pStyle w:val="MAPPA-Bodytext"/>
      </w:pPr>
      <w:r>
        <w:t>T</w:t>
      </w:r>
      <w:r w:rsidRPr="001F341F">
        <w:t>hat is as far as MAPPA extend</w:t>
      </w:r>
      <w:r>
        <w:t xml:space="preserve"> i</w:t>
      </w:r>
      <w:r w:rsidRPr="001F341F">
        <w:t>n the majority of cases</w:t>
      </w:r>
      <w:r>
        <w:t>,</w:t>
      </w:r>
      <w:r w:rsidRPr="001F341F">
        <w:t xml:space="preserve"> but </w:t>
      </w:r>
      <w:r>
        <w:t>some cases require</w:t>
      </w:r>
      <w:r w:rsidR="00332369">
        <w:t xml:space="preserve"> more senior oversight</w:t>
      </w:r>
      <w:r w:rsidR="00421553">
        <w:t xml:space="preserve"> and</w:t>
      </w:r>
      <w:r>
        <w:t xml:space="preserve"> </w:t>
      </w:r>
      <w:r w:rsidR="00E6461E">
        <w:t>structured</w:t>
      </w:r>
      <w:r w:rsidRPr="001F341F">
        <w:t xml:space="preserve"> multi-agency management.</w:t>
      </w:r>
      <w:r>
        <w:t xml:space="preserve"> </w:t>
      </w:r>
      <w:r w:rsidRPr="001F341F">
        <w:t>In such cases there will be regular MAPPA meetings attended by relevant agency practitioners.</w:t>
      </w:r>
    </w:p>
    <w:p w14:paraId="4A3F0A29" w14:textId="340DD799" w:rsidR="00332EE6" w:rsidRDefault="00332EE6" w:rsidP="00332EE6">
      <w:pPr>
        <w:pStyle w:val="MAPPA-Bodytext"/>
      </w:pPr>
      <w:r>
        <w:t xml:space="preserve">There are </w:t>
      </w:r>
      <w:r w:rsidR="00BB22A3">
        <w:t>4</w:t>
      </w:r>
      <w:r>
        <w:t xml:space="preserve"> categories of MAPPA-eligible offender: </w:t>
      </w:r>
    </w:p>
    <w:p w14:paraId="6F75A108" w14:textId="77777777" w:rsidR="00332EE6" w:rsidRDefault="00332EE6" w:rsidP="00332EE6">
      <w:pPr>
        <w:pStyle w:val="MAPPA-Bodytext"/>
        <w:numPr>
          <w:ilvl w:val="0"/>
          <w:numId w:val="1"/>
        </w:numPr>
      </w:pPr>
      <w:r w:rsidRPr="001F341F">
        <w:rPr>
          <w:b/>
        </w:rPr>
        <w:t>Category 1</w:t>
      </w:r>
      <w:r>
        <w:t xml:space="preserve"> - registered sexual offenders; </w:t>
      </w:r>
    </w:p>
    <w:p w14:paraId="0EAF9D74" w14:textId="77777777" w:rsidR="00332EE6" w:rsidRDefault="00332EE6" w:rsidP="00332EE6">
      <w:pPr>
        <w:pStyle w:val="MAPPA-Bodytext"/>
        <w:numPr>
          <w:ilvl w:val="0"/>
          <w:numId w:val="1"/>
        </w:numPr>
      </w:pPr>
      <w:r w:rsidRPr="001F341F">
        <w:rPr>
          <w:b/>
        </w:rPr>
        <w:t>Category 2</w:t>
      </w:r>
      <w:r>
        <w:t xml:space="preserve"> – mainly violent offenders sentenced to 12 months or more imprisonment or a hospital order; and </w:t>
      </w:r>
    </w:p>
    <w:p w14:paraId="02383433" w14:textId="1214E3B3" w:rsidR="00332EE6" w:rsidRDefault="00332EE6" w:rsidP="00332EE6">
      <w:pPr>
        <w:pStyle w:val="MAPPA-Bodytext"/>
        <w:numPr>
          <w:ilvl w:val="0"/>
          <w:numId w:val="1"/>
        </w:numPr>
      </w:pPr>
      <w:r w:rsidRPr="001F341F">
        <w:rPr>
          <w:b/>
        </w:rPr>
        <w:t>Category 3</w:t>
      </w:r>
      <w:r>
        <w:t xml:space="preserve"> – offenders who do not qualify under categories 1 or 2 but who currently pose a risk of serious harm. </w:t>
      </w:r>
    </w:p>
    <w:p w14:paraId="466FF8B5" w14:textId="018B36CB" w:rsidR="00BB22A3" w:rsidRDefault="00BB22A3" w:rsidP="00332EE6">
      <w:pPr>
        <w:pStyle w:val="MAPPA-Bodytext"/>
        <w:numPr>
          <w:ilvl w:val="0"/>
          <w:numId w:val="1"/>
        </w:numPr>
      </w:pPr>
      <w:r>
        <w:rPr>
          <w:b/>
        </w:rPr>
        <w:t xml:space="preserve">Category 4 </w:t>
      </w:r>
      <w:r>
        <w:t>– Terrorism, Terrorism Connected and Terrorism Connected Offenders</w:t>
      </w:r>
    </w:p>
    <w:p w14:paraId="41373FD3" w14:textId="77777777" w:rsidR="00332EE6" w:rsidRDefault="00332EE6" w:rsidP="00332EE6">
      <w:pPr>
        <w:pStyle w:val="MAPPA-Bodytext"/>
      </w:pPr>
      <w:r>
        <w:t xml:space="preserve">There are three levels of management to ensure that resources are focused where they are most needed; generally those </w:t>
      </w:r>
      <w:r w:rsidR="00912A31">
        <w:t>presenting</w:t>
      </w:r>
      <w:r>
        <w:t xml:space="preserve"> the higher risks of serious harm. </w:t>
      </w:r>
    </w:p>
    <w:p w14:paraId="7F985D70" w14:textId="77777777" w:rsidR="00332EE6" w:rsidRDefault="00332EE6" w:rsidP="00332EE6">
      <w:pPr>
        <w:pStyle w:val="MAPPA-Bodytext"/>
        <w:numPr>
          <w:ilvl w:val="0"/>
          <w:numId w:val="2"/>
        </w:numPr>
      </w:pPr>
      <w:r w:rsidRPr="001F341F">
        <w:rPr>
          <w:b/>
        </w:rPr>
        <w:t>Level 1</w:t>
      </w:r>
      <w:r>
        <w:t xml:space="preserve"> </w:t>
      </w:r>
      <w:r w:rsidR="002C0567">
        <w:t>is where the offender is</w:t>
      </w:r>
      <w:r>
        <w:t xml:space="preserve"> managed by the lead agency </w:t>
      </w:r>
      <w:r w:rsidR="007C095C">
        <w:t>with</w:t>
      </w:r>
      <w:r w:rsidR="00C40C02">
        <w:t xml:space="preserve"> information exchange and </w:t>
      </w:r>
      <w:r w:rsidR="007C095C">
        <w:t>multi-agency support</w:t>
      </w:r>
      <w:r w:rsidR="00C40C02">
        <w:t xml:space="preserve"> as required</w:t>
      </w:r>
      <w:r w:rsidR="007C095C">
        <w:t xml:space="preserve"> but </w:t>
      </w:r>
      <w:r>
        <w:t>with</w:t>
      </w:r>
      <w:r w:rsidR="002C0567">
        <w:t>out</w:t>
      </w:r>
      <w:r>
        <w:t xml:space="preserve"> </w:t>
      </w:r>
      <w:r w:rsidR="00846E32">
        <w:t xml:space="preserve">formal </w:t>
      </w:r>
      <w:r>
        <w:t xml:space="preserve">MAPPA meetings; </w:t>
      </w:r>
    </w:p>
    <w:p w14:paraId="13459617" w14:textId="77777777" w:rsidR="00332EE6" w:rsidRDefault="00332EE6" w:rsidP="00332EE6">
      <w:pPr>
        <w:pStyle w:val="MAPPA-Bodytext"/>
        <w:numPr>
          <w:ilvl w:val="0"/>
          <w:numId w:val="2"/>
        </w:numPr>
      </w:pPr>
      <w:r w:rsidRPr="001F341F">
        <w:rPr>
          <w:b/>
        </w:rPr>
        <w:t>Level 2</w:t>
      </w:r>
      <w:r>
        <w:t xml:space="preserve"> is where </w:t>
      </w:r>
      <w:r w:rsidR="002C0567">
        <w:t>formal MAPPA meetings are</w:t>
      </w:r>
      <w:r>
        <w:t xml:space="preserve"> required to manage the offender. </w:t>
      </w:r>
    </w:p>
    <w:p w14:paraId="6F9BA254" w14:textId="77777777" w:rsidR="00332EE6" w:rsidRDefault="00332EE6" w:rsidP="00332EE6">
      <w:pPr>
        <w:pStyle w:val="MAPPA-Bodytext"/>
        <w:numPr>
          <w:ilvl w:val="0"/>
          <w:numId w:val="2"/>
        </w:numPr>
      </w:pPr>
      <w:r w:rsidRPr="002446A8">
        <w:rPr>
          <w:b/>
        </w:rPr>
        <w:t xml:space="preserve">Level 3 </w:t>
      </w:r>
      <w:r>
        <w:t xml:space="preserve">is where risk management plans </w:t>
      </w:r>
      <w:r w:rsidRPr="001F341F">
        <w:t>require</w:t>
      </w:r>
      <w:r>
        <w:t xml:space="preserve"> the attendance and commitment of resources at a senior level</w:t>
      </w:r>
      <w:r w:rsidR="002C0567">
        <w:t xml:space="preserve"> at MAPPA meetings</w:t>
      </w:r>
      <w:r>
        <w:t xml:space="preserve">. </w:t>
      </w:r>
    </w:p>
    <w:p w14:paraId="40AF76A3" w14:textId="77777777" w:rsidR="00332EE6" w:rsidRDefault="00332EE6" w:rsidP="00332EE6">
      <w:pPr>
        <w:pStyle w:val="MAPPA-Bodytext"/>
      </w:pPr>
      <w:r w:rsidRPr="001F341F">
        <w:t xml:space="preserve">MAPPA </w:t>
      </w:r>
      <w:r>
        <w:t>are</w:t>
      </w:r>
      <w:r w:rsidRPr="001F341F">
        <w:t xml:space="preserve"> supported by ViSOR. This is a national IT system </w:t>
      </w:r>
      <w:r>
        <w:t>to assist</w:t>
      </w:r>
      <w:r w:rsidRPr="001F341F">
        <w:t xml:space="preserve"> </w:t>
      </w:r>
      <w:r>
        <w:t xml:space="preserve">in </w:t>
      </w:r>
      <w:r w:rsidRPr="001F341F">
        <w:t xml:space="preserve">the management of </w:t>
      </w:r>
      <w:r>
        <w:t>offenders</w:t>
      </w:r>
      <w:r w:rsidRPr="001F341F">
        <w:t xml:space="preserve"> who pose a serious risk of harm to the public.</w:t>
      </w:r>
      <w:r>
        <w:t xml:space="preserve"> </w:t>
      </w:r>
      <w:r w:rsidRPr="001F341F">
        <w:t>The use of ViSOR increases the ability to share intelligence across</w:t>
      </w:r>
      <w:r w:rsidRPr="0091273E">
        <w:rPr>
          <w:lang w:val="en-GB"/>
        </w:rPr>
        <w:t xml:space="preserve"> organisations</w:t>
      </w:r>
      <w:r w:rsidRPr="001F341F">
        <w:t xml:space="preserve"> and enable</w:t>
      </w:r>
      <w:r w:rsidR="00421553">
        <w:t>s</w:t>
      </w:r>
      <w:r w:rsidRPr="001F341F">
        <w:t xml:space="preserve"> the safe transfer of key information when high risk offenders move, enhancing public protection measures. </w:t>
      </w:r>
      <w:r>
        <w:t xml:space="preserve">ViSOR allows </w:t>
      </w:r>
      <w:r w:rsidRPr="001F341F">
        <w:t xml:space="preserve">staff from the Police, Probation and Prison Services to work on the same IT system, improving the quality and timeliness of risk assessments and interventions to prevent offending. </w:t>
      </w:r>
    </w:p>
    <w:p w14:paraId="26672A73" w14:textId="77777777" w:rsidR="00105344" w:rsidRPr="0069414D" w:rsidRDefault="00507932" w:rsidP="00105344">
      <w:pPr>
        <w:pStyle w:val="MAPPA-HeadingPara"/>
        <w:rPr>
          <w:color w:val="7030A0"/>
        </w:rPr>
      </w:pPr>
      <w:r>
        <w:rPr>
          <w:color w:val="7030A0"/>
        </w:rPr>
        <w:t xml:space="preserve">MAPPA and </w:t>
      </w:r>
      <w:r w:rsidR="00105344">
        <w:rPr>
          <w:color w:val="7030A0"/>
        </w:rPr>
        <w:t xml:space="preserve">Terrorism </w:t>
      </w:r>
    </w:p>
    <w:p w14:paraId="5ED45272" w14:textId="77777777" w:rsidR="00507932" w:rsidRDefault="00105344" w:rsidP="00332EE6">
      <w:pPr>
        <w:pStyle w:val="MAPPA-Bodytext"/>
        <w:rPr>
          <w:szCs w:val="28"/>
        </w:rPr>
      </w:pPr>
      <w:r w:rsidRPr="00105344">
        <w:rPr>
          <w:szCs w:val="28"/>
        </w:rPr>
        <w:t xml:space="preserve">In response to the terrorist </w:t>
      </w:r>
      <w:r w:rsidR="00B27C0E">
        <w:rPr>
          <w:szCs w:val="28"/>
        </w:rPr>
        <w:t>attack</w:t>
      </w:r>
      <w:r w:rsidRPr="00105344">
        <w:rPr>
          <w:szCs w:val="28"/>
        </w:rPr>
        <w:t xml:space="preserve"> committed by Usman Khan at Fishmongers’ Hall on 29 November 2019, </w:t>
      </w:r>
      <w:r w:rsidR="00B27C0E">
        <w:rPr>
          <w:szCs w:val="28"/>
        </w:rPr>
        <w:t>t</w:t>
      </w:r>
      <w:r w:rsidR="00421553">
        <w:rPr>
          <w:szCs w:val="28"/>
        </w:rPr>
        <w:t>h</w:t>
      </w:r>
      <w:r w:rsidR="0028255E">
        <w:rPr>
          <w:szCs w:val="28"/>
        </w:rPr>
        <w:t>e</w:t>
      </w:r>
      <w:r w:rsidR="00421553">
        <w:rPr>
          <w:szCs w:val="28"/>
        </w:rPr>
        <w:t xml:space="preserve"> Home Secretary and the Lord Chancellor </w:t>
      </w:r>
      <w:r w:rsidR="00421553">
        <w:rPr>
          <w:szCs w:val="28"/>
        </w:rPr>
        <w:lastRenderedPageBreak/>
        <w:t xml:space="preserve">commissioned </w:t>
      </w:r>
      <w:r w:rsidRPr="00105344">
        <w:rPr>
          <w:szCs w:val="28"/>
        </w:rPr>
        <w:t>Jonathan Hall QC</w:t>
      </w:r>
      <w:r w:rsidR="00421553">
        <w:rPr>
          <w:szCs w:val="28"/>
        </w:rPr>
        <w:t xml:space="preserve">, who is the Independent Reviewer of Terrorism Legislation, </w:t>
      </w:r>
      <w:r w:rsidRPr="00105344">
        <w:rPr>
          <w:szCs w:val="28"/>
        </w:rPr>
        <w:t>to undertake a review of MAPPA and the management of known terrorists and other extremist offenders (TACT Offenders). The terrorist attack committed by Sudesh Amman in Streatham High Road on 2 February 2020 served to reinforce the need for the review, since both Khan and Amman had been managed under MAPPA. The government published the report on 2 September 2020</w:t>
      </w:r>
      <w:r>
        <w:rPr>
          <w:szCs w:val="28"/>
        </w:rPr>
        <w:t xml:space="preserve"> and </w:t>
      </w:r>
      <w:r w:rsidR="00507932">
        <w:rPr>
          <w:szCs w:val="28"/>
        </w:rPr>
        <w:t xml:space="preserve">published a </w:t>
      </w:r>
      <w:r>
        <w:rPr>
          <w:szCs w:val="28"/>
        </w:rPr>
        <w:t>respon</w:t>
      </w:r>
      <w:r w:rsidR="00507932">
        <w:rPr>
          <w:szCs w:val="28"/>
        </w:rPr>
        <w:t>se</w:t>
      </w:r>
      <w:r>
        <w:rPr>
          <w:szCs w:val="28"/>
        </w:rPr>
        <w:t xml:space="preserve"> to </w:t>
      </w:r>
      <w:r w:rsidR="00507932">
        <w:rPr>
          <w:szCs w:val="28"/>
        </w:rPr>
        <w:t>it</w:t>
      </w:r>
      <w:r>
        <w:rPr>
          <w:szCs w:val="28"/>
        </w:rPr>
        <w:t xml:space="preserve"> on 9 December</w:t>
      </w:r>
      <w:r w:rsidRPr="00105344">
        <w:rPr>
          <w:szCs w:val="28"/>
        </w:rPr>
        <w:t xml:space="preserve">. </w:t>
      </w:r>
      <w:r w:rsidR="00D8050D">
        <w:rPr>
          <w:szCs w:val="28"/>
        </w:rPr>
        <w:t xml:space="preserve">Both documents are available at </w:t>
      </w:r>
      <w:hyperlink r:id="rId20" w:history="1">
        <w:r w:rsidR="00D8050D" w:rsidRPr="007A780F">
          <w:rPr>
            <w:rStyle w:val="Hyperlink"/>
            <w:rFonts w:cs="Arial"/>
            <w:szCs w:val="28"/>
          </w:rPr>
          <w:t>https://www.gov.uk/government/publications/multi-agency-public-protection-arrangements-review</w:t>
        </w:r>
      </w:hyperlink>
      <w:r w:rsidR="00D8050D">
        <w:rPr>
          <w:rStyle w:val="Hyperlink"/>
          <w:rFonts w:cs="Arial"/>
          <w:szCs w:val="28"/>
        </w:rPr>
        <w:t xml:space="preserve">. </w:t>
      </w:r>
      <w:r w:rsidR="00507932">
        <w:rPr>
          <w:szCs w:val="28"/>
        </w:rPr>
        <w:t>The report made a number of recommendations, several</w:t>
      </w:r>
      <w:r w:rsidR="00D56F7B">
        <w:rPr>
          <w:szCs w:val="28"/>
        </w:rPr>
        <w:t xml:space="preserve"> </w:t>
      </w:r>
      <w:r w:rsidR="00507932">
        <w:rPr>
          <w:szCs w:val="28"/>
        </w:rPr>
        <w:t xml:space="preserve">of which </w:t>
      </w:r>
      <w:r w:rsidR="00C242F2">
        <w:rPr>
          <w:szCs w:val="28"/>
        </w:rPr>
        <w:t xml:space="preserve">have been or </w:t>
      </w:r>
      <w:r w:rsidR="00507932">
        <w:rPr>
          <w:szCs w:val="28"/>
        </w:rPr>
        <w:t xml:space="preserve">are </w:t>
      </w:r>
      <w:r>
        <w:rPr>
          <w:szCs w:val="28"/>
        </w:rPr>
        <w:t xml:space="preserve">being implemented via the </w:t>
      </w:r>
      <w:r w:rsidR="00C242F2">
        <w:rPr>
          <w:szCs w:val="28"/>
        </w:rPr>
        <w:t xml:space="preserve">Counter-Terrorism and Sentencing Act 2021 and the </w:t>
      </w:r>
      <w:r w:rsidR="00507932">
        <w:rPr>
          <w:szCs w:val="28"/>
        </w:rPr>
        <w:t xml:space="preserve">Police, Crime, Sentencing and Courts Bill. </w:t>
      </w:r>
      <w:r w:rsidR="00F346C9">
        <w:rPr>
          <w:szCs w:val="28"/>
        </w:rPr>
        <w:t xml:space="preserve">Others have already been introduced by the creation of the National Security Division </w:t>
      </w:r>
      <w:r w:rsidR="00B54A0B">
        <w:rPr>
          <w:szCs w:val="28"/>
        </w:rPr>
        <w:t xml:space="preserve">(NSD) </w:t>
      </w:r>
      <w:r w:rsidR="00F346C9">
        <w:rPr>
          <w:szCs w:val="28"/>
        </w:rPr>
        <w:t xml:space="preserve">in the Probation Service to manage terrorist offenders. The Secretary of State has also revised the </w:t>
      </w:r>
      <w:r w:rsidR="00B27C0E">
        <w:rPr>
          <w:szCs w:val="28"/>
        </w:rPr>
        <w:t xml:space="preserve">statutory </w:t>
      </w:r>
      <w:r w:rsidR="00F346C9">
        <w:rPr>
          <w:szCs w:val="28"/>
        </w:rPr>
        <w:t>MAPPA</w:t>
      </w:r>
      <w:r w:rsidR="00421553">
        <w:rPr>
          <w:szCs w:val="28"/>
        </w:rPr>
        <w:t xml:space="preserve"> </w:t>
      </w:r>
      <w:r w:rsidR="00F346C9">
        <w:rPr>
          <w:szCs w:val="28"/>
        </w:rPr>
        <w:t>Guidance on terrorist offenders.</w:t>
      </w:r>
    </w:p>
    <w:p w14:paraId="126BC2FF" w14:textId="77777777" w:rsidR="00B54A0B" w:rsidRDefault="00B54A0B" w:rsidP="00332EE6">
      <w:pPr>
        <w:pStyle w:val="MAPPA-Bodytext"/>
        <w:rPr>
          <w:szCs w:val="28"/>
        </w:rPr>
      </w:pPr>
      <w:r w:rsidRPr="00B54A0B">
        <w:rPr>
          <w:szCs w:val="28"/>
        </w:rPr>
        <w:t xml:space="preserve">The </w:t>
      </w:r>
      <w:r w:rsidR="00421553">
        <w:rPr>
          <w:szCs w:val="28"/>
        </w:rPr>
        <w:t>Probation Service</w:t>
      </w:r>
      <w:r w:rsidR="0028255E">
        <w:rPr>
          <w:szCs w:val="28"/>
        </w:rPr>
        <w:t>, via the</w:t>
      </w:r>
      <w:r w:rsidRPr="00B54A0B">
        <w:rPr>
          <w:szCs w:val="28"/>
        </w:rPr>
        <w:t xml:space="preserve"> </w:t>
      </w:r>
      <w:r>
        <w:rPr>
          <w:szCs w:val="28"/>
        </w:rPr>
        <w:t>NSD</w:t>
      </w:r>
      <w:r w:rsidR="00B27C0E">
        <w:rPr>
          <w:szCs w:val="28"/>
        </w:rPr>
        <w:t>,</w:t>
      </w:r>
      <w:r w:rsidRPr="00B54A0B">
        <w:rPr>
          <w:szCs w:val="28"/>
        </w:rPr>
        <w:t xml:space="preserve"> </w:t>
      </w:r>
      <w:r w:rsidR="0028255E">
        <w:rPr>
          <w:szCs w:val="28"/>
        </w:rPr>
        <w:t>has</w:t>
      </w:r>
      <w:r w:rsidR="00B27C0E">
        <w:rPr>
          <w:szCs w:val="28"/>
        </w:rPr>
        <w:t xml:space="preserve"> </w:t>
      </w:r>
      <w:r w:rsidRPr="00B54A0B">
        <w:rPr>
          <w:szCs w:val="28"/>
        </w:rPr>
        <w:t>create</w:t>
      </w:r>
      <w:r w:rsidR="0028255E">
        <w:rPr>
          <w:szCs w:val="28"/>
        </w:rPr>
        <w:t>d</w:t>
      </w:r>
      <w:r w:rsidRPr="00B54A0B">
        <w:rPr>
          <w:szCs w:val="28"/>
        </w:rPr>
        <w:t xml:space="preserve"> a specialist dedicated and highly skilled workforce, which provides an enhanced level of management and intervention for the most high-risk, complex and high-profile offenders in the community. This will include the management of terrorist</w:t>
      </w:r>
      <w:r w:rsidR="0028255E">
        <w:rPr>
          <w:szCs w:val="28"/>
        </w:rPr>
        <w:t xml:space="preserve"> connected and terrorist risk</w:t>
      </w:r>
      <w:r w:rsidRPr="00B54A0B">
        <w:rPr>
          <w:szCs w:val="28"/>
        </w:rPr>
        <w:t xml:space="preserve"> offenders. Five</w:t>
      </w:r>
      <w:r w:rsidR="0028255E">
        <w:rPr>
          <w:szCs w:val="28"/>
        </w:rPr>
        <w:t xml:space="preserve"> Probation Service</w:t>
      </w:r>
      <w:r w:rsidRPr="00B54A0B">
        <w:rPr>
          <w:szCs w:val="28"/>
        </w:rPr>
        <w:t xml:space="preserve"> national security units </w:t>
      </w:r>
      <w:r w:rsidR="0028255E">
        <w:rPr>
          <w:szCs w:val="28"/>
        </w:rPr>
        <w:t>have</w:t>
      </w:r>
      <w:r w:rsidRPr="00B54A0B">
        <w:rPr>
          <w:szCs w:val="28"/>
        </w:rPr>
        <w:t xml:space="preserve"> be</w:t>
      </w:r>
      <w:r w:rsidR="0028255E">
        <w:rPr>
          <w:szCs w:val="28"/>
        </w:rPr>
        <w:t>en</w:t>
      </w:r>
      <w:r w:rsidRPr="00B54A0B">
        <w:rPr>
          <w:szCs w:val="28"/>
        </w:rPr>
        <w:t xml:space="preserve"> established across England &amp; Wales </w:t>
      </w:r>
      <w:r w:rsidR="0028255E">
        <w:rPr>
          <w:szCs w:val="28"/>
        </w:rPr>
        <w:t>during</w:t>
      </w:r>
      <w:r w:rsidRPr="00B54A0B">
        <w:rPr>
          <w:szCs w:val="28"/>
        </w:rPr>
        <w:t xml:space="preserve"> 20</w:t>
      </w:r>
      <w:r w:rsidR="0028255E">
        <w:rPr>
          <w:szCs w:val="28"/>
        </w:rPr>
        <w:t>20/</w:t>
      </w:r>
      <w:r w:rsidRPr="00B54A0B">
        <w:rPr>
          <w:szCs w:val="28"/>
        </w:rPr>
        <w:t xml:space="preserve">21. </w:t>
      </w:r>
      <w:r>
        <w:rPr>
          <w:szCs w:val="28"/>
        </w:rPr>
        <w:t>The NSD</w:t>
      </w:r>
      <w:r w:rsidR="00051C64">
        <w:rPr>
          <w:szCs w:val="28"/>
        </w:rPr>
        <w:t xml:space="preserve"> and </w:t>
      </w:r>
      <w:r w:rsidR="00D8050D">
        <w:rPr>
          <w:szCs w:val="28"/>
        </w:rPr>
        <w:t>C</w:t>
      </w:r>
      <w:r w:rsidR="00051C64">
        <w:rPr>
          <w:szCs w:val="28"/>
        </w:rPr>
        <w:t>ounter-</w:t>
      </w:r>
      <w:r w:rsidR="00D8050D">
        <w:rPr>
          <w:szCs w:val="28"/>
        </w:rPr>
        <w:t>T</w:t>
      </w:r>
      <w:r w:rsidR="00051C64">
        <w:rPr>
          <w:szCs w:val="28"/>
        </w:rPr>
        <w:t>erroris</w:t>
      </w:r>
      <w:r w:rsidR="00B27C0E">
        <w:rPr>
          <w:szCs w:val="28"/>
        </w:rPr>
        <w:t>m</w:t>
      </w:r>
      <w:r w:rsidR="00051C64">
        <w:rPr>
          <w:szCs w:val="28"/>
        </w:rPr>
        <w:t xml:space="preserve"> </w:t>
      </w:r>
      <w:r w:rsidR="00D8050D">
        <w:rPr>
          <w:szCs w:val="28"/>
        </w:rPr>
        <w:t>P</w:t>
      </w:r>
      <w:r w:rsidR="00051C64">
        <w:rPr>
          <w:szCs w:val="28"/>
        </w:rPr>
        <w:t>olic</w:t>
      </w:r>
      <w:r w:rsidR="00B27C0E">
        <w:rPr>
          <w:szCs w:val="28"/>
        </w:rPr>
        <w:t>ing</w:t>
      </w:r>
      <w:r w:rsidRPr="00B54A0B">
        <w:rPr>
          <w:szCs w:val="28"/>
        </w:rPr>
        <w:t xml:space="preserve"> will be working closely with</w:t>
      </w:r>
      <w:r w:rsidR="00B27C0E">
        <w:rPr>
          <w:szCs w:val="28"/>
        </w:rPr>
        <w:t xml:space="preserve"> </w:t>
      </w:r>
      <w:r w:rsidR="00051C64">
        <w:rPr>
          <w:szCs w:val="28"/>
        </w:rPr>
        <w:t>local</w:t>
      </w:r>
      <w:r w:rsidRPr="00B54A0B">
        <w:rPr>
          <w:szCs w:val="28"/>
        </w:rPr>
        <w:t xml:space="preserve"> Strategic Management Board</w:t>
      </w:r>
      <w:r w:rsidR="00051C64">
        <w:rPr>
          <w:szCs w:val="28"/>
        </w:rPr>
        <w:t>s to ensure</w:t>
      </w:r>
      <w:r w:rsidR="00D8050D">
        <w:rPr>
          <w:szCs w:val="28"/>
        </w:rPr>
        <w:t xml:space="preserve"> </w:t>
      </w:r>
      <w:r w:rsidRPr="00B54A0B">
        <w:rPr>
          <w:szCs w:val="28"/>
        </w:rPr>
        <w:t xml:space="preserve">the robust management of </w:t>
      </w:r>
      <w:r w:rsidR="00D8050D">
        <w:rPr>
          <w:szCs w:val="28"/>
        </w:rPr>
        <w:t xml:space="preserve">terrorism cases. The </w:t>
      </w:r>
      <w:r w:rsidR="00C242F2">
        <w:rPr>
          <w:szCs w:val="28"/>
        </w:rPr>
        <w:t>NSD</w:t>
      </w:r>
      <w:r w:rsidR="00D8050D">
        <w:rPr>
          <w:szCs w:val="28"/>
        </w:rPr>
        <w:t xml:space="preserve"> also manages</w:t>
      </w:r>
      <w:r w:rsidRPr="00B54A0B">
        <w:rPr>
          <w:szCs w:val="28"/>
        </w:rPr>
        <w:t xml:space="preserve"> serious organised crime </w:t>
      </w:r>
      <w:r w:rsidR="0028255E">
        <w:rPr>
          <w:szCs w:val="28"/>
        </w:rPr>
        <w:t>and the most high risk and high profile</w:t>
      </w:r>
      <w:r w:rsidRPr="00B54A0B">
        <w:rPr>
          <w:szCs w:val="28"/>
        </w:rPr>
        <w:t xml:space="preserve"> </w:t>
      </w:r>
      <w:r w:rsidR="0028255E">
        <w:rPr>
          <w:szCs w:val="28"/>
        </w:rPr>
        <w:t>p</w:t>
      </w:r>
      <w:r w:rsidRPr="00B54A0B">
        <w:rPr>
          <w:szCs w:val="28"/>
        </w:rPr>
        <w:t xml:space="preserve">ublic </w:t>
      </w:r>
      <w:r w:rsidR="0028255E">
        <w:rPr>
          <w:szCs w:val="28"/>
        </w:rPr>
        <w:t>p</w:t>
      </w:r>
      <w:r w:rsidRPr="00B54A0B">
        <w:rPr>
          <w:szCs w:val="28"/>
        </w:rPr>
        <w:t xml:space="preserve">rotection </w:t>
      </w:r>
      <w:r w:rsidR="0028255E">
        <w:rPr>
          <w:szCs w:val="28"/>
        </w:rPr>
        <w:t>c</w:t>
      </w:r>
      <w:r w:rsidRPr="00B54A0B">
        <w:rPr>
          <w:szCs w:val="28"/>
        </w:rPr>
        <w:t xml:space="preserve">ases.  </w:t>
      </w:r>
    </w:p>
    <w:p w14:paraId="4B247379" w14:textId="77777777" w:rsidR="00332EE6" w:rsidRPr="001F341F" w:rsidRDefault="00332EE6" w:rsidP="00332EE6">
      <w:pPr>
        <w:pStyle w:val="MAPPA-Bodytext"/>
        <w:rPr>
          <w:szCs w:val="28"/>
        </w:rPr>
      </w:pPr>
      <w:r>
        <w:rPr>
          <w:szCs w:val="28"/>
        </w:rPr>
        <w:t xml:space="preserve">All MAPPA reports from England and Wales are published online at: </w:t>
      </w:r>
      <w:hyperlink r:id="rId21" w:history="1">
        <w:r w:rsidRPr="00DC02EE">
          <w:rPr>
            <w:rStyle w:val="Hyperlink"/>
            <w:szCs w:val="28"/>
          </w:rPr>
          <w:t>www.gov.uk</w:t>
        </w:r>
      </w:hyperlink>
      <w:r>
        <w:rPr>
          <w:szCs w:val="28"/>
        </w:rPr>
        <w:t xml:space="preserve"> </w:t>
      </w:r>
    </w:p>
    <w:p w14:paraId="506EC3B2" w14:textId="77777777" w:rsidR="00332EE6" w:rsidRDefault="00332EE6" w:rsidP="00332EE6">
      <w:pPr>
        <w:pStyle w:val="MAPPA-Bodytext"/>
        <w:rPr>
          <w:szCs w:val="28"/>
        </w:rPr>
      </w:pPr>
    </w:p>
    <w:p w14:paraId="44565C3B" w14:textId="77777777" w:rsidR="00332EE6" w:rsidRDefault="00332EE6" w:rsidP="00332EE6">
      <w:pPr>
        <w:pStyle w:val="MAPPA-Bodytext"/>
        <w:rPr>
          <w:szCs w:val="28"/>
        </w:rPr>
        <w:sectPr w:rsidR="00332EE6" w:rsidSect="00867C9E">
          <w:type w:val="continuous"/>
          <w:pgSz w:w="11905" w:h="16837" w:code="9"/>
          <w:pgMar w:top="720" w:right="720" w:bottom="720" w:left="720" w:header="720" w:footer="567" w:gutter="0"/>
          <w:cols w:num="2" w:space="720"/>
          <w:noEndnote/>
        </w:sectPr>
      </w:pPr>
    </w:p>
    <w:p w14:paraId="401D11BC" w14:textId="77777777" w:rsidR="00332EE6" w:rsidRDefault="00332EE6" w:rsidP="00332EE6">
      <w:pPr>
        <w:pStyle w:val="MAPPA-Bodytext"/>
        <w:rPr>
          <w:szCs w:val="28"/>
        </w:rPr>
      </w:pPr>
    </w:p>
    <w:p w14:paraId="363E2C05" w14:textId="77777777" w:rsidR="00332EE6" w:rsidRDefault="00332EE6" w:rsidP="00332EE6">
      <w:pPr>
        <w:pStyle w:val="MAPPA-Bodytext"/>
        <w:rPr>
          <w:szCs w:val="28"/>
        </w:rPr>
        <w:sectPr w:rsidR="00332EE6" w:rsidSect="00867C9E">
          <w:footerReference w:type="default" r:id="rId22"/>
          <w:type w:val="continuous"/>
          <w:pgSz w:w="11905" w:h="16837" w:code="9"/>
          <w:pgMar w:top="720" w:right="720" w:bottom="720" w:left="720" w:header="720" w:footer="567" w:gutter="0"/>
          <w:cols w:space="720"/>
          <w:noEndnote/>
        </w:sectPr>
      </w:pPr>
    </w:p>
    <w:p w14:paraId="0A2B83AD" w14:textId="77777777" w:rsidR="00332EE6" w:rsidRPr="0069414D" w:rsidRDefault="00332EE6" w:rsidP="00332EE6">
      <w:pPr>
        <w:pStyle w:val="MAPPA-Heaingsection"/>
        <w:rPr>
          <w:color w:val="7030A0"/>
        </w:rPr>
      </w:pPr>
      <w:r w:rsidRPr="0069414D">
        <w:rPr>
          <w:color w:val="7030A0"/>
        </w:rPr>
        <w:lastRenderedPageBreak/>
        <w:t>MAPPA Statistics</w:t>
      </w:r>
    </w:p>
    <w:p w14:paraId="42673EB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DDED006" w14:textId="77777777" w:rsidR="00332EE6" w:rsidRDefault="00332EE6" w:rsidP="00332EE6">
      <w:pPr>
        <w:pStyle w:val="MAPPA-Bodytext"/>
        <w:rPr>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1E0" w:firstRow="1" w:lastRow="1" w:firstColumn="1" w:lastColumn="1" w:noHBand="0" w:noVBand="0"/>
      </w:tblPr>
      <w:tblGrid>
        <w:gridCol w:w="2088"/>
        <w:gridCol w:w="2105"/>
        <w:gridCol w:w="2090"/>
        <w:gridCol w:w="2092"/>
        <w:gridCol w:w="2084"/>
      </w:tblGrid>
      <w:tr w:rsidR="00332EE6" w14:paraId="09562C4C" w14:textId="77777777" w:rsidTr="008E75AB">
        <w:tc>
          <w:tcPr>
            <w:tcW w:w="10459" w:type="dxa"/>
            <w:gridSpan w:val="5"/>
            <w:shd w:val="clear" w:color="auto" w:fill="CCC0D9" w:themeFill="accent4" w:themeFillTint="66"/>
            <w:vAlign w:val="bottom"/>
          </w:tcPr>
          <w:p w14:paraId="37DF3738" w14:textId="10EAED73" w:rsidR="00332EE6" w:rsidRPr="00B614A4" w:rsidRDefault="00332EE6" w:rsidP="001976DE">
            <w:pPr>
              <w:pStyle w:val="StyleMAPPA-TabletextBold"/>
              <w:rPr>
                <w:rFonts w:ascii="Bliss 2 Bold" w:hAnsi="Bliss 2 Bold" w:cs="Bliss 2 Bold"/>
                <w:sz w:val="26"/>
                <w:szCs w:val="26"/>
              </w:rPr>
            </w:pPr>
            <w:r w:rsidRPr="00D83865">
              <w:t>MAPPA-eligible offenders on 31 March 20</w:t>
            </w:r>
            <w:r w:rsidR="001976DE">
              <w:t>2</w:t>
            </w:r>
            <w:r w:rsidR="00AB164C">
              <w:t>3</w:t>
            </w:r>
          </w:p>
        </w:tc>
      </w:tr>
      <w:tr w:rsidR="00332EE6" w14:paraId="1B2EC10F" w14:textId="77777777" w:rsidTr="008E75AB">
        <w:tc>
          <w:tcPr>
            <w:tcW w:w="2088" w:type="dxa"/>
            <w:shd w:val="clear" w:color="auto" w:fill="CCC0D9" w:themeFill="accent4" w:themeFillTint="66"/>
            <w:vAlign w:val="bottom"/>
          </w:tcPr>
          <w:p w14:paraId="49EE27FD" w14:textId="77777777" w:rsidR="00332EE6" w:rsidRDefault="00332EE6" w:rsidP="00E558E2">
            <w:pPr>
              <w:pStyle w:val="MAPPA-Tabletext"/>
            </w:pPr>
          </w:p>
        </w:tc>
        <w:tc>
          <w:tcPr>
            <w:tcW w:w="2105" w:type="dxa"/>
            <w:shd w:val="clear" w:color="auto" w:fill="CCC0D9" w:themeFill="accent4" w:themeFillTint="66"/>
            <w:vAlign w:val="bottom"/>
          </w:tcPr>
          <w:p w14:paraId="50810095" w14:textId="77777777" w:rsidR="00332EE6" w:rsidRDefault="00332EE6" w:rsidP="00E558E2">
            <w:pPr>
              <w:pStyle w:val="MAPPA-Tabletext"/>
              <w:jc w:val="right"/>
            </w:pPr>
            <w:r w:rsidRPr="00D83865">
              <w:t>Category 1:</w:t>
            </w:r>
            <w:r>
              <w:br/>
            </w:r>
            <w:r w:rsidRPr="00D83865">
              <w:t>Registered sex</w:t>
            </w:r>
            <w:r>
              <w:br/>
            </w:r>
            <w:r w:rsidRPr="00D83865">
              <w:t>offenders</w:t>
            </w:r>
          </w:p>
        </w:tc>
        <w:tc>
          <w:tcPr>
            <w:tcW w:w="2090" w:type="dxa"/>
            <w:shd w:val="clear" w:color="auto" w:fill="CCC0D9" w:themeFill="accent4" w:themeFillTint="66"/>
            <w:vAlign w:val="bottom"/>
          </w:tcPr>
          <w:p w14:paraId="00002EA6" w14:textId="77777777" w:rsidR="00332EE6" w:rsidRDefault="00332EE6" w:rsidP="00E558E2">
            <w:pPr>
              <w:pStyle w:val="MAPPA-Tabletext"/>
              <w:jc w:val="right"/>
            </w:pPr>
            <w:r w:rsidRPr="00D83865">
              <w:t>Category 2:</w:t>
            </w:r>
            <w:r>
              <w:br/>
            </w:r>
            <w:r w:rsidRPr="00D83865">
              <w:t>Violent</w:t>
            </w:r>
            <w:r>
              <w:br/>
            </w:r>
            <w:r w:rsidRPr="00D83865">
              <w:t>offenders</w:t>
            </w:r>
          </w:p>
        </w:tc>
        <w:tc>
          <w:tcPr>
            <w:tcW w:w="2092" w:type="dxa"/>
            <w:shd w:val="clear" w:color="auto" w:fill="CCC0D9" w:themeFill="accent4" w:themeFillTint="66"/>
            <w:vAlign w:val="bottom"/>
          </w:tcPr>
          <w:p w14:paraId="220A339B" w14:textId="77777777" w:rsidR="00332EE6" w:rsidRDefault="00332EE6" w:rsidP="00E558E2">
            <w:pPr>
              <w:pStyle w:val="MAPPA-Tabletext"/>
              <w:jc w:val="right"/>
            </w:pPr>
            <w:r w:rsidRPr="00D83865">
              <w:t>Category 3:</w:t>
            </w:r>
            <w:r>
              <w:br/>
            </w:r>
            <w:r w:rsidRPr="00D83865">
              <w:t>Other dangerous</w:t>
            </w:r>
            <w:r>
              <w:br/>
            </w:r>
            <w:r w:rsidRPr="00D83865">
              <w:t>offenders</w:t>
            </w:r>
          </w:p>
        </w:tc>
        <w:tc>
          <w:tcPr>
            <w:tcW w:w="2084" w:type="dxa"/>
            <w:shd w:val="clear" w:color="auto" w:fill="CCC0D9" w:themeFill="accent4" w:themeFillTint="66"/>
            <w:vAlign w:val="bottom"/>
          </w:tcPr>
          <w:p w14:paraId="7C6A759B" w14:textId="77777777" w:rsidR="00332EE6" w:rsidRDefault="00332EE6" w:rsidP="00E558E2">
            <w:pPr>
              <w:pStyle w:val="MAPPA-Tabletext"/>
              <w:jc w:val="right"/>
            </w:pPr>
            <w:r w:rsidRPr="00D83865">
              <w:t>Total</w:t>
            </w:r>
          </w:p>
        </w:tc>
      </w:tr>
      <w:tr w:rsidR="00332EE6" w14:paraId="7738561D" w14:textId="77777777" w:rsidTr="008E75AB">
        <w:tc>
          <w:tcPr>
            <w:tcW w:w="2088" w:type="dxa"/>
            <w:vAlign w:val="bottom"/>
          </w:tcPr>
          <w:p w14:paraId="6BB118C4" w14:textId="77777777" w:rsidR="00332EE6" w:rsidRDefault="00332EE6" w:rsidP="00E558E2">
            <w:pPr>
              <w:pStyle w:val="MAPPA-Tabletext"/>
            </w:pPr>
            <w:r>
              <w:t>Level 1</w:t>
            </w:r>
          </w:p>
        </w:tc>
        <w:tc>
          <w:tcPr>
            <w:tcW w:w="2105" w:type="dxa"/>
            <w:vAlign w:val="bottom"/>
          </w:tcPr>
          <w:p w14:paraId="040FF983" w14:textId="0AD0B723" w:rsidR="00332EE6" w:rsidRPr="00AB164C" w:rsidRDefault="00531283" w:rsidP="00E558E2">
            <w:pPr>
              <w:pStyle w:val="MAPPA-Tabletext"/>
              <w:jc w:val="right"/>
              <w:rPr>
                <w:b/>
                <w:bCs/>
              </w:rPr>
            </w:pPr>
            <w:r w:rsidRPr="00AB164C">
              <w:rPr>
                <w:b/>
                <w:bCs/>
              </w:rPr>
              <w:t>1</w:t>
            </w:r>
            <w:r w:rsidR="00B22B4A">
              <w:rPr>
                <w:b/>
                <w:bCs/>
              </w:rPr>
              <w:t>420</w:t>
            </w:r>
          </w:p>
        </w:tc>
        <w:tc>
          <w:tcPr>
            <w:tcW w:w="2090" w:type="dxa"/>
            <w:vAlign w:val="bottom"/>
          </w:tcPr>
          <w:p w14:paraId="73E3D60D" w14:textId="6B93E89E" w:rsidR="00332EE6" w:rsidRPr="00AB164C" w:rsidRDefault="00C3458D" w:rsidP="00E558E2">
            <w:pPr>
              <w:pStyle w:val="MAPPA-Tabletext"/>
              <w:jc w:val="right"/>
              <w:rPr>
                <w:b/>
                <w:bCs/>
              </w:rPr>
            </w:pPr>
            <w:r>
              <w:rPr>
                <w:b/>
                <w:bCs/>
              </w:rPr>
              <w:t>376</w:t>
            </w:r>
          </w:p>
        </w:tc>
        <w:tc>
          <w:tcPr>
            <w:tcW w:w="2092" w:type="dxa"/>
            <w:vAlign w:val="bottom"/>
          </w:tcPr>
          <w:p w14:paraId="0697AB29" w14:textId="258F0D4A" w:rsidR="00332EE6" w:rsidRPr="00AB164C" w:rsidRDefault="00531283" w:rsidP="00E558E2">
            <w:pPr>
              <w:pStyle w:val="MAPPA-Tabletext"/>
              <w:jc w:val="right"/>
              <w:rPr>
                <w:b/>
                <w:bCs/>
              </w:rPr>
            </w:pPr>
            <w:r w:rsidRPr="00AB164C">
              <w:rPr>
                <w:b/>
                <w:bCs/>
              </w:rPr>
              <w:t>-</w:t>
            </w:r>
          </w:p>
        </w:tc>
        <w:tc>
          <w:tcPr>
            <w:tcW w:w="2084" w:type="dxa"/>
            <w:vAlign w:val="bottom"/>
          </w:tcPr>
          <w:p w14:paraId="038DEFE2" w14:textId="2A3CFD63" w:rsidR="00332EE6" w:rsidRPr="00AB164C" w:rsidRDefault="00531283" w:rsidP="00E558E2">
            <w:pPr>
              <w:pStyle w:val="MAPPA-Tabletext"/>
              <w:jc w:val="right"/>
              <w:rPr>
                <w:b/>
                <w:bCs/>
              </w:rPr>
            </w:pPr>
            <w:r w:rsidRPr="00AB164C">
              <w:rPr>
                <w:b/>
                <w:bCs/>
              </w:rPr>
              <w:t>17</w:t>
            </w:r>
            <w:r w:rsidR="00C3458D">
              <w:rPr>
                <w:b/>
                <w:bCs/>
              </w:rPr>
              <w:t>96</w:t>
            </w:r>
          </w:p>
        </w:tc>
      </w:tr>
      <w:tr w:rsidR="00332EE6" w14:paraId="0EED1443" w14:textId="77777777" w:rsidTr="008E75AB">
        <w:tc>
          <w:tcPr>
            <w:tcW w:w="2088" w:type="dxa"/>
            <w:vAlign w:val="bottom"/>
          </w:tcPr>
          <w:p w14:paraId="474C8C66" w14:textId="77777777" w:rsidR="00332EE6" w:rsidRDefault="00332EE6" w:rsidP="00E558E2">
            <w:pPr>
              <w:pStyle w:val="MAPPA-Tabletext"/>
            </w:pPr>
            <w:r>
              <w:t>Level 2</w:t>
            </w:r>
          </w:p>
        </w:tc>
        <w:tc>
          <w:tcPr>
            <w:tcW w:w="2105" w:type="dxa"/>
            <w:vAlign w:val="bottom"/>
          </w:tcPr>
          <w:p w14:paraId="5EB2F441" w14:textId="476F3429" w:rsidR="00332EE6" w:rsidRPr="00AB164C" w:rsidRDefault="00B22B4A" w:rsidP="00E558E2">
            <w:pPr>
              <w:pStyle w:val="MAPPA-Tabletext"/>
              <w:jc w:val="right"/>
              <w:rPr>
                <w:b/>
                <w:bCs/>
              </w:rPr>
            </w:pPr>
            <w:r>
              <w:rPr>
                <w:b/>
                <w:bCs/>
              </w:rPr>
              <w:t>7</w:t>
            </w:r>
          </w:p>
        </w:tc>
        <w:tc>
          <w:tcPr>
            <w:tcW w:w="2090" w:type="dxa"/>
            <w:vAlign w:val="bottom"/>
          </w:tcPr>
          <w:p w14:paraId="12513B3B" w14:textId="244FF2AE" w:rsidR="00332EE6" w:rsidRPr="00AB164C" w:rsidRDefault="00C3458D" w:rsidP="00E558E2">
            <w:pPr>
              <w:pStyle w:val="MAPPA-Tabletext"/>
              <w:jc w:val="right"/>
              <w:rPr>
                <w:b/>
                <w:bCs/>
              </w:rPr>
            </w:pPr>
            <w:r>
              <w:rPr>
                <w:b/>
                <w:bCs/>
              </w:rPr>
              <w:t>6</w:t>
            </w:r>
          </w:p>
        </w:tc>
        <w:tc>
          <w:tcPr>
            <w:tcW w:w="2092" w:type="dxa"/>
            <w:vAlign w:val="bottom"/>
          </w:tcPr>
          <w:p w14:paraId="515A0333" w14:textId="08E6810B" w:rsidR="00332EE6" w:rsidRPr="00AB164C" w:rsidRDefault="00C3458D" w:rsidP="00E558E2">
            <w:pPr>
              <w:pStyle w:val="MAPPA-Tabletext"/>
              <w:jc w:val="right"/>
              <w:rPr>
                <w:b/>
                <w:bCs/>
              </w:rPr>
            </w:pPr>
            <w:r>
              <w:rPr>
                <w:b/>
                <w:bCs/>
              </w:rPr>
              <w:t>2</w:t>
            </w:r>
          </w:p>
        </w:tc>
        <w:tc>
          <w:tcPr>
            <w:tcW w:w="2084" w:type="dxa"/>
            <w:vAlign w:val="bottom"/>
          </w:tcPr>
          <w:p w14:paraId="0539A149" w14:textId="1898B242" w:rsidR="00332EE6" w:rsidRPr="00AB164C" w:rsidRDefault="00C3458D" w:rsidP="00E558E2">
            <w:pPr>
              <w:pStyle w:val="MAPPA-Tabletext"/>
              <w:jc w:val="right"/>
              <w:rPr>
                <w:b/>
                <w:bCs/>
              </w:rPr>
            </w:pPr>
            <w:r>
              <w:rPr>
                <w:b/>
                <w:bCs/>
              </w:rPr>
              <w:t>15</w:t>
            </w:r>
          </w:p>
        </w:tc>
      </w:tr>
      <w:tr w:rsidR="00332EE6" w14:paraId="450AAAAC" w14:textId="77777777" w:rsidTr="008E75AB">
        <w:tc>
          <w:tcPr>
            <w:tcW w:w="2088" w:type="dxa"/>
            <w:vAlign w:val="bottom"/>
          </w:tcPr>
          <w:p w14:paraId="382EFE4B" w14:textId="77777777" w:rsidR="00332EE6" w:rsidRDefault="00332EE6" w:rsidP="00E558E2">
            <w:pPr>
              <w:pStyle w:val="MAPPA-Tabletext"/>
            </w:pPr>
            <w:r>
              <w:t>Level 3</w:t>
            </w:r>
          </w:p>
        </w:tc>
        <w:tc>
          <w:tcPr>
            <w:tcW w:w="2105" w:type="dxa"/>
            <w:vAlign w:val="bottom"/>
          </w:tcPr>
          <w:p w14:paraId="7DDE66AC" w14:textId="3701D0C7" w:rsidR="00332EE6" w:rsidRPr="00AB164C" w:rsidRDefault="00531283" w:rsidP="00E558E2">
            <w:pPr>
              <w:pStyle w:val="MAPPA-Tabletext"/>
              <w:jc w:val="right"/>
              <w:rPr>
                <w:b/>
                <w:bCs/>
              </w:rPr>
            </w:pPr>
            <w:r w:rsidRPr="00AB164C">
              <w:rPr>
                <w:b/>
                <w:bCs/>
              </w:rPr>
              <w:t>1</w:t>
            </w:r>
          </w:p>
        </w:tc>
        <w:tc>
          <w:tcPr>
            <w:tcW w:w="2090" w:type="dxa"/>
            <w:vAlign w:val="bottom"/>
          </w:tcPr>
          <w:p w14:paraId="5815D61C" w14:textId="2A1DCBAA" w:rsidR="00332EE6" w:rsidRPr="00AB164C" w:rsidRDefault="00C3458D" w:rsidP="00E558E2">
            <w:pPr>
              <w:pStyle w:val="MAPPA-Tabletext"/>
              <w:jc w:val="right"/>
              <w:rPr>
                <w:b/>
                <w:bCs/>
              </w:rPr>
            </w:pPr>
            <w:r>
              <w:rPr>
                <w:b/>
                <w:bCs/>
              </w:rPr>
              <w:t>4</w:t>
            </w:r>
          </w:p>
        </w:tc>
        <w:tc>
          <w:tcPr>
            <w:tcW w:w="2092" w:type="dxa"/>
            <w:vAlign w:val="bottom"/>
          </w:tcPr>
          <w:p w14:paraId="58C3D34D" w14:textId="4007DE43" w:rsidR="00332EE6" w:rsidRPr="00AB164C" w:rsidRDefault="00C3458D" w:rsidP="00E558E2">
            <w:pPr>
              <w:pStyle w:val="MAPPA-Tabletext"/>
              <w:jc w:val="right"/>
              <w:rPr>
                <w:b/>
                <w:bCs/>
              </w:rPr>
            </w:pPr>
            <w:r>
              <w:rPr>
                <w:b/>
                <w:bCs/>
              </w:rPr>
              <w:t>2</w:t>
            </w:r>
          </w:p>
        </w:tc>
        <w:tc>
          <w:tcPr>
            <w:tcW w:w="2084" w:type="dxa"/>
            <w:vAlign w:val="bottom"/>
          </w:tcPr>
          <w:p w14:paraId="6B8E16B9" w14:textId="6BE3BEC6" w:rsidR="00332EE6" w:rsidRPr="00AB164C" w:rsidRDefault="00C3458D" w:rsidP="00E558E2">
            <w:pPr>
              <w:pStyle w:val="MAPPA-Tabletext"/>
              <w:jc w:val="right"/>
              <w:rPr>
                <w:b/>
                <w:bCs/>
              </w:rPr>
            </w:pPr>
            <w:r>
              <w:rPr>
                <w:b/>
                <w:bCs/>
              </w:rPr>
              <w:t>7</w:t>
            </w:r>
          </w:p>
        </w:tc>
      </w:tr>
      <w:tr w:rsidR="00332EE6" w14:paraId="210FEA27" w14:textId="77777777" w:rsidTr="008E75AB">
        <w:tc>
          <w:tcPr>
            <w:tcW w:w="2088" w:type="dxa"/>
            <w:vAlign w:val="bottom"/>
          </w:tcPr>
          <w:p w14:paraId="45425EE0" w14:textId="77777777" w:rsidR="00332EE6" w:rsidRDefault="00332EE6" w:rsidP="00E558E2">
            <w:pPr>
              <w:pStyle w:val="MAPPA-Tabletext"/>
            </w:pPr>
            <w:r>
              <w:t>Total</w:t>
            </w:r>
          </w:p>
        </w:tc>
        <w:tc>
          <w:tcPr>
            <w:tcW w:w="2105" w:type="dxa"/>
            <w:vAlign w:val="bottom"/>
          </w:tcPr>
          <w:p w14:paraId="1E3EA1C7" w14:textId="0AC32F43" w:rsidR="00332EE6" w:rsidRPr="00AB164C" w:rsidRDefault="00531283" w:rsidP="00E558E2">
            <w:pPr>
              <w:pStyle w:val="MAPPA-Tabletext"/>
              <w:jc w:val="right"/>
              <w:rPr>
                <w:b/>
                <w:bCs/>
              </w:rPr>
            </w:pPr>
            <w:r w:rsidRPr="00AB164C">
              <w:rPr>
                <w:b/>
                <w:bCs/>
              </w:rPr>
              <w:t>1</w:t>
            </w:r>
            <w:r w:rsidR="00B22B4A">
              <w:rPr>
                <w:b/>
                <w:bCs/>
              </w:rPr>
              <w:t>428</w:t>
            </w:r>
          </w:p>
        </w:tc>
        <w:tc>
          <w:tcPr>
            <w:tcW w:w="2090" w:type="dxa"/>
            <w:vAlign w:val="bottom"/>
          </w:tcPr>
          <w:p w14:paraId="63D10012" w14:textId="5F2BF808" w:rsidR="00332EE6" w:rsidRPr="00AB164C" w:rsidRDefault="00C3458D" w:rsidP="00E558E2">
            <w:pPr>
              <w:pStyle w:val="MAPPA-Tabletext"/>
              <w:jc w:val="right"/>
              <w:rPr>
                <w:b/>
                <w:bCs/>
              </w:rPr>
            </w:pPr>
            <w:r>
              <w:rPr>
                <w:b/>
                <w:bCs/>
              </w:rPr>
              <w:t>386</w:t>
            </w:r>
          </w:p>
        </w:tc>
        <w:tc>
          <w:tcPr>
            <w:tcW w:w="2092" w:type="dxa"/>
            <w:vAlign w:val="bottom"/>
          </w:tcPr>
          <w:p w14:paraId="63FC95E4" w14:textId="34D73B3A" w:rsidR="00332EE6" w:rsidRPr="00AB164C" w:rsidRDefault="00C3458D" w:rsidP="00E558E2">
            <w:pPr>
              <w:pStyle w:val="MAPPA-Tabletext"/>
              <w:jc w:val="right"/>
              <w:rPr>
                <w:b/>
                <w:bCs/>
              </w:rPr>
            </w:pPr>
            <w:r>
              <w:rPr>
                <w:b/>
                <w:bCs/>
              </w:rPr>
              <w:t>4</w:t>
            </w:r>
          </w:p>
        </w:tc>
        <w:tc>
          <w:tcPr>
            <w:tcW w:w="2084" w:type="dxa"/>
            <w:vAlign w:val="bottom"/>
          </w:tcPr>
          <w:p w14:paraId="6C0F467C" w14:textId="212DD735" w:rsidR="00332EE6" w:rsidRPr="00AB164C" w:rsidRDefault="00531283" w:rsidP="00E558E2">
            <w:pPr>
              <w:pStyle w:val="MAPPA-Tabletext"/>
              <w:jc w:val="right"/>
              <w:rPr>
                <w:b/>
                <w:bCs/>
              </w:rPr>
            </w:pPr>
            <w:r w:rsidRPr="00AB164C">
              <w:rPr>
                <w:b/>
                <w:bCs/>
              </w:rPr>
              <w:t>18</w:t>
            </w:r>
            <w:r w:rsidR="00C3458D">
              <w:rPr>
                <w:b/>
                <w:bCs/>
              </w:rPr>
              <w:t>18</w:t>
            </w:r>
          </w:p>
        </w:tc>
      </w:tr>
    </w:tbl>
    <w:p w14:paraId="7A968B3E" w14:textId="77777777" w:rsidR="00332EE6" w:rsidRDefault="00332EE6" w:rsidP="00332EE6">
      <w:pPr>
        <w:pStyle w:val="MAPPA-Bodytext"/>
        <w:rPr>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1E0" w:firstRow="1" w:lastRow="1" w:firstColumn="1" w:lastColumn="1" w:noHBand="0" w:noVBand="0"/>
      </w:tblPr>
      <w:tblGrid>
        <w:gridCol w:w="2088"/>
        <w:gridCol w:w="2105"/>
        <w:gridCol w:w="2090"/>
        <w:gridCol w:w="2092"/>
        <w:gridCol w:w="2084"/>
      </w:tblGrid>
      <w:tr w:rsidR="00332EE6" w14:paraId="5AEA5812" w14:textId="77777777" w:rsidTr="0069414D">
        <w:tc>
          <w:tcPr>
            <w:tcW w:w="10579" w:type="dxa"/>
            <w:gridSpan w:val="5"/>
            <w:shd w:val="clear" w:color="auto" w:fill="CCC0D9" w:themeFill="accent4" w:themeFillTint="66"/>
            <w:vAlign w:val="bottom"/>
          </w:tcPr>
          <w:p w14:paraId="7C68C8C0" w14:textId="77777777" w:rsidR="00332EE6" w:rsidRPr="00B614A4" w:rsidRDefault="00332EE6" w:rsidP="00E558E2">
            <w:pPr>
              <w:pStyle w:val="StyleMAPPA-TabletextBold"/>
              <w:rPr>
                <w:szCs w:val="28"/>
              </w:rPr>
            </w:pPr>
            <w:r w:rsidRPr="00D83865">
              <w:t>MAPPA-eligible offenders in Levels 2 and 3 by category (yearly total)</w:t>
            </w:r>
          </w:p>
        </w:tc>
      </w:tr>
      <w:tr w:rsidR="00332EE6" w14:paraId="012B7B08" w14:textId="77777777" w:rsidTr="0069414D">
        <w:tc>
          <w:tcPr>
            <w:tcW w:w="2117" w:type="dxa"/>
            <w:shd w:val="clear" w:color="auto" w:fill="CCC0D9" w:themeFill="accent4" w:themeFillTint="66"/>
            <w:vAlign w:val="bottom"/>
          </w:tcPr>
          <w:p w14:paraId="6B41A126" w14:textId="77777777" w:rsidR="00332EE6" w:rsidRDefault="00332EE6" w:rsidP="00E558E2">
            <w:pPr>
              <w:pStyle w:val="MAPPA-Tabletext"/>
            </w:pPr>
          </w:p>
        </w:tc>
        <w:tc>
          <w:tcPr>
            <w:tcW w:w="2125" w:type="dxa"/>
            <w:shd w:val="clear" w:color="auto" w:fill="CCC0D9" w:themeFill="accent4" w:themeFillTint="66"/>
            <w:vAlign w:val="bottom"/>
          </w:tcPr>
          <w:p w14:paraId="4FD01D40" w14:textId="77777777" w:rsidR="00332EE6" w:rsidRDefault="00332EE6" w:rsidP="00E558E2">
            <w:pPr>
              <w:pStyle w:val="MAPPA-Tabletext"/>
              <w:jc w:val="right"/>
            </w:pPr>
            <w:r w:rsidRPr="00D83865">
              <w:t>Category 1:</w:t>
            </w:r>
            <w:r>
              <w:br/>
            </w:r>
            <w:r w:rsidRPr="00D83865">
              <w:t>Registered sex</w:t>
            </w:r>
            <w:r>
              <w:br/>
            </w:r>
            <w:r w:rsidRPr="00D83865">
              <w:t>offenders</w:t>
            </w:r>
          </w:p>
        </w:tc>
        <w:tc>
          <w:tcPr>
            <w:tcW w:w="2112" w:type="dxa"/>
            <w:shd w:val="clear" w:color="auto" w:fill="CCC0D9" w:themeFill="accent4" w:themeFillTint="66"/>
            <w:vAlign w:val="bottom"/>
          </w:tcPr>
          <w:p w14:paraId="7DFEF032" w14:textId="77777777" w:rsidR="00332EE6" w:rsidRDefault="00332EE6" w:rsidP="00E558E2">
            <w:pPr>
              <w:pStyle w:val="MAPPA-Tabletext"/>
              <w:jc w:val="right"/>
            </w:pPr>
            <w:r w:rsidRPr="00D83865">
              <w:t>Category 2:</w:t>
            </w:r>
            <w:r>
              <w:br/>
            </w:r>
            <w:r w:rsidRPr="00D83865">
              <w:t>Violent</w:t>
            </w:r>
            <w:r>
              <w:br/>
            </w:r>
            <w:r w:rsidRPr="00D83865">
              <w:t>offenders</w:t>
            </w:r>
          </w:p>
        </w:tc>
        <w:tc>
          <w:tcPr>
            <w:tcW w:w="2112" w:type="dxa"/>
            <w:shd w:val="clear" w:color="auto" w:fill="CCC0D9" w:themeFill="accent4" w:themeFillTint="66"/>
            <w:vAlign w:val="bottom"/>
          </w:tcPr>
          <w:p w14:paraId="3851A719" w14:textId="77777777" w:rsidR="00332EE6" w:rsidRDefault="00332EE6" w:rsidP="00E558E2">
            <w:pPr>
              <w:pStyle w:val="MAPPA-Tabletext"/>
              <w:jc w:val="right"/>
            </w:pPr>
            <w:r w:rsidRPr="00D83865">
              <w:t>Category 3:</w:t>
            </w:r>
            <w:r>
              <w:br/>
            </w:r>
            <w:r w:rsidRPr="00D83865">
              <w:t>Other dangerous</w:t>
            </w:r>
            <w:r>
              <w:br/>
            </w:r>
            <w:r w:rsidRPr="00D83865">
              <w:t>offenders</w:t>
            </w:r>
          </w:p>
        </w:tc>
        <w:tc>
          <w:tcPr>
            <w:tcW w:w="2113" w:type="dxa"/>
            <w:shd w:val="clear" w:color="auto" w:fill="CCC0D9" w:themeFill="accent4" w:themeFillTint="66"/>
            <w:vAlign w:val="bottom"/>
          </w:tcPr>
          <w:p w14:paraId="2F844A84" w14:textId="77777777" w:rsidR="00332EE6" w:rsidRDefault="00332EE6" w:rsidP="00E558E2">
            <w:pPr>
              <w:pStyle w:val="MAPPA-Tabletext"/>
              <w:jc w:val="right"/>
            </w:pPr>
            <w:r w:rsidRPr="00D83865">
              <w:t>Total</w:t>
            </w:r>
          </w:p>
        </w:tc>
      </w:tr>
      <w:tr w:rsidR="00332EE6" w14:paraId="1C0B444D" w14:textId="77777777" w:rsidTr="00E558E2">
        <w:tc>
          <w:tcPr>
            <w:tcW w:w="2117" w:type="dxa"/>
            <w:vAlign w:val="bottom"/>
          </w:tcPr>
          <w:p w14:paraId="7C1B838C" w14:textId="77777777" w:rsidR="00332EE6" w:rsidRDefault="00332EE6" w:rsidP="00E558E2">
            <w:pPr>
              <w:pStyle w:val="MAPPA-Tabletext"/>
            </w:pPr>
            <w:r>
              <w:t>Level 2</w:t>
            </w:r>
          </w:p>
        </w:tc>
        <w:tc>
          <w:tcPr>
            <w:tcW w:w="2125" w:type="dxa"/>
            <w:vAlign w:val="bottom"/>
          </w:tcPr>
          <w:p w14:paraId="4692810E" w14:textId="3D922449" w:rsidR="00332EE6" w:rsidRPr="00AB164C" w:rsidRDefault="00531283" w:rsidP="00E558E2">
            <w:pPr>
              <w:pStyle w:val="MAPPA-Tabletext"/>
              <w:jc w:val="right"/>
              <w:rPr>
                <w:b/>
                <w:bCs/>
              </w:rPr>
            </w:pPr>
            <w:r w:rsidRPr="00AB164C">
              <w:rPr>
                <w:b/>
                <w:bCs/>
              </w:rPr>
              <w:t>1</w:t>
            </w:r>
            <w:r w:rsidR="00B22B4A">
              <w:rPr>
                <w:b/>
                <w:bCs/>
              </w:rPr>
              <w:t>6</w:t>
            </w:r>
          </w:p>
        </w:tc>
        <w:tc>
          <w:tcPr>
            <w:tcW w:w="2112" w:type="dxa"/>
            <w:vAlign w:val="bottom"/>
          </w:tcPr>
          <w:p w14:paraId="7D6DCA60" w14:textId="1BF51B85" w:rsidR="00332EE6" w:rsidRPr="00AB164C" w:rsidRDefault="00C3458D" w:rsidP="00E558E2">
            <w:pPr>
              <w:pStyle w:val="MAPPA-Tabletext"/>
              <w:jc w:val="right"/>
              <w:rPr>
                <w:b/>
                <w:bCs/>
              </w:rPr>
            </w:pPr>
            <w:r>
              <w:rPr>
                <w:b/>
                <w:bCs/>
              </w:rPr>
              <w:t>27</w:t>
            </w:r>
          </w:p>
        </w:tc>
        <w:tc>
          <w:tcPr>
            <w:tcW w:w="2112" w:type="dxa"/>
            <w:vAlign w:val="bottom"/>
          </w:tcPr>
          <w:p w14:paraId="77F9D256" w14:textId="7EE37CCA" w:rsidR="00332EE6" w:rsidRPr="00AB164C" w:rsidRDefault="00C3458D" w:rsidP="00E558E2">
            <w:pPr>
              <w:pStyle w:val="MAPPA-Tabletext"/>
              <w:jc w:val="right"/>
              <w:rPr>
                <w:b/>
                <w:bCs/>
              </w:rPr>
            </w:pPr>
            <w:r>
              <w:rPr>
                <w:b/>
                <w:bCs/>
              </w:rPr>
              <w:t>23</w:t>
            </w:r>
          </w:p>
        </w:tc>
        <w:tc>
          <w:tcPr>
            <w:tcW w:w="2113" w:type="dxa"/>
            <w:vAlign w:val="bottom"/>
          </w:tcPr>
          <w:p w14:paraId="46072B0C" w14:textId="4F6EE0CB" w:rsidR="00332EE6" w:rsidRPr="00AB164C" w:rsidRDefault="00C3458D" w:rsidP="00E558E2">
            <w:pPr>
              <w:pStyle w:val="MAPPA-Tabletext"/>
              <w:jc w:val="right"/>
              <w:rPr>
                <w:b/>
                <w:bCs/>
              </w:rPr>
            </w:pPr>
            <w:r>
              <w:rPr>
                <w:b/>
                <w:bCs/>
              </w:rPr>
              <w:t>66</w:t>
            </w:r>
          </w:p>
        </w:tc>
      </w:tr>
      <w:tr w:rsidR="00332EE6" w14:paraId="66F88893" w14:textId="77777777" w:rsidTr="00E558E2">
        <w:tc>
          <w:tcPr>
            <w:tcW w:w="2117" w:type="dxa"/>
            <w:vAlign w:val="bottom"/>
          </w:tcPr>
          <w:p w14:paraId="774808BF" w14:textId="77777777" w:rsidR="00332EE6" w:rsidRDefault="00332EE6" w:rsidP="00E558E2">
            <w:pPr>
              <w:pStyle w:val="MAPPA-Tabletext"/>
            </w:pPr>
            <w:r>
              <w:t>Level 3</w:t>
            </w:r>
          </w:p>
        </w:tc>
        <w:tc>
          <w:tcPr>
            <w:tcW w:w="2125" w:type="dxa"/>
            <w:vAlign w:val="bottom"/>
          </w:tcPr>
          <w:p w14:paraId="2184923B" w14:textId="50C76E73" w:rsidR="00332EE6" w:rsidRPr="00AB164C" w:rsidRDefault="00C3458D" w:rsidP="00E558E2">
            <w:pPr>
              <w:pStyle w:val="MAPPA-Tabletext"/>
              <w:jc w:val="right"/>
              <w:rPr>
                <w:b/>
                <w:bCs/>
              </w:rPr>
            </w:pPr>
            <w:r>
              <w:rPr>
                <w:b/>
                <w:bCs/>
              </w:rPr>
              <w:t>5</w:t>
            </w:r>
          </w:p>
        </w:tc>
        <w:tc>
          <w:tcPr>
            <w:tcW w:w="2112" w:type="dxa"/>
            <w:vAlign w:val="bottom"/>
          </w:tcPr>
          <w:p w14:paraId="75EAAB3C" w14:textId="5DE20FAC" w:rsidR="00332EE6" w:rsidRPr="00AB164C" w:rsidRDefault="00C3458D" w:rsidP="00E558E2">
            <w:pPr>
              <w:pStyle w:val="MAPPA-Tabletext"/>
              <w:jc w:val="right"/>
              <w:rPr>
                <w:b/>
                <w:bCs/>
              </w:rPr>
            </w:pPr>
            <w:r>
              <w:rPr>
                <w:b/>
                <w:bCs/>
              </w:rPr>
              <w:t>10</w:t>
            </w:r>
          </w:p>
        </w:tc>
        <w:tc>
          <w:tcPr>
            <w:tcW w:w="2112" w:type="dxa"/>
            <w:vAlign w:val="bottom"/>
          </w:tcPr>
          <w:p w14:paraId="46B819C7" w14:textId="14446E08" w:rsidR="00332EE6" w:rsidRPr="00AB164C" w:rsidRDefault="00C3458D" w:rsidP="00E558E2">
            <w:pPr>
              <w:pStyle w:val="MAPPA-Tabletext"/>
              <w:jc w:val="right"/>
              <w:rPr>
                <w:b/>
                <w:bCs/>
              </w:rPr>
            </w:pPr>
            <w:r>
              <w:rPr>
                <w:b/>
                <w:bCs/>
              </w:rPr>
              <w:t>2</w:t>
            </w:r>
          </w:p>
        </w:tc>
        <w:tc>
          <w:tcPr>
            <w:tcW w:w="2113" w:type="dxa"/>
            <w:vAlign w:val="bottom"/>
          </w:tcPr>
          <w:p w14:paraId="1FC1C03C" w14:textId="49BEC0DF" w:rsidR="00332EE6" w:rsidRPr="00AB164C" w:rsidRDefault="00C3458D" w:rsidP="00E558E2">
            <w:pPr>
              <w:pStyle w:val="MAPPA-Tabletext"/>
              <w:jc w:val="right"/>
              <w:rPr>
                <w:b/>
                <w:bCs/>
              </w:rPr>
            </w:pPr>
            <w:r>
              <w:rPr>
                <w:b/>
                <w:bCs/>
              </w:rPr>
              <w:t>17</w:t>
            </w:r>
          </w:p>
        </w:tc>
      </w:tr>
      <w:tr w:rsidR="00332EE6" w14:paraId="2BF8D203" w14:textId="77777777" w:rsidTr="00E558E2">
        <w:tc>
          <w:tcPr>
            <w:tcW w:w="2117" w:type="dxa"/>
            <w:vAlign w:val="bottom"/>
          </w:tcPr>
          <w:p w14:paraId="679C53E1" w14:textId="77777777" w:rsidR="00332EE6" w:rsidRDefault="00332EE6" w:rsidP="00E558E2">
            <w:pPr>
              <w:pStyle w:val="MAPPA-Tabletext"/>
            </w:pPr>
            <w:r>
              <w:t>Total</w:t>
            </w:r>
          </w:p>
        </w:tc>
        <w:tc>
          <w:tcPr>
            <w:tcW w:w="2125" w:type="dxa"/>
            <w:vAlign w:val="bottom"/>
          </w:tcPr>
          <w:p w14:paraId="734ACED4" w14:textId="4F425A55" w:rsidR="00332EE6" w:rsidRPr="00AB164C" w:rsidRDefault="00C3458D" w:rsidP="00E558E2">
            <w:pPr>
              <w:pStyle w:val="MAPPA-Tabletext"/>
              <w:jc w:val="right"/>
              <w:rPr>
                <w:b/>
                <w:bCs/>
              </w:rPr>
            </w:pPr>
            <w:r>
              <w:rPr>
                <w:b/>
                <w:bCs/>
              </w:rPr>
              <w:t>21</w:t>
            </w:r>
          </w:p>
        </w:tc>
        <w:tc>
          <w:tcPr>
            <w:tcW w:w="2112" w:type="dxa"/>
            <w:vAlign w:val="bottom"/>
          </w:tcPr>
          <w:p w14:paraId="17ED9108" w14:textId="02101635" w:rsidR="00332EE6" w:rsidRPr="00AB164C" w:rsidRDefault="00C3458D" w:rsidP="00E558E2">
            <w:pPr>
              <w:pStyle w:val="MAPPA-Tabletext"/>
              <w:jc w:val="right"/>
              <w:rPr>
                <w:b/>
                <w:bCs/>
              </w:rPr>
            </w:pPr>
            <w:r>
              <w:rPr>
                <w:b/>
                <w:bCs/>
              </w:rPr>
              <w:t>37</w:t>
            </w:r>
          </w:p>
        </w:tc>
        <w:tc>
          <w:tcPr>
            <w:tcW w:w="2112" w:type="dxa"/>
            <w:vAlign w:val="bottom"/>
          </w:tcPr>
          <w:p w14:paraId="0FE196AF" w14:textId="681C916B" w:rsidR="00332EE6" w:rsidRPr="00AB164C" w:rsidRDefault="00C3458D" w:rsidP="00E558E2">
            <w:pPr>
              <w:pStyle w:val="MAPPA-Tabletext"/>
              <w:jc w:val="right"/>
              <w:rPr>
                <w:b/>
                <w:bCs/>
              </w:rPr>
            </w:pPr>
            <w:r>
              <w:rPr>
                <w:b/>
                <w:bCs/>
              </w:rPr>
              <w:t>25</w:t>
            </w:r>
          </w:p>
        </w:tc>
        <w:tc>
          <w:tcPr>
            <w:tcW w:w="2113" w:type="dxa"/>
            <w:vAlign w:val="bottom"/>
          </w:tcPr>
          <w:p w14:paraId="5C5E6295" w14:textId="04165886" w:rsidR="00332EE6" w:rsidRPr="00AB164C" w:rsidRDefault="00C3458D" w:rsidP="00E558E2">
            <w:pPr>
              <w:pStyle w:val="MAPPA-Tabletext"/>
              <w:jc w:val="right"/>
              <w:rPr>
                <w:b/>
                <w:bCs/>
              </w:rPr>
            </w:pPr>
            <w:r>
              <w:rPr>
                <w:b/>
                <w:bCs/>
              </w:rPr>
              <w:t>83</w:t>
            </w:r>
          </w:p>
        </w:tc>
      </w:tr>
    </w:tbl>
    <w:p w14:paraId="039D7571" w14:textId="77777777" w:rsidR="00332EE6" w:rsidRDefault="00332EE6" w:rsidP="00332EE6">
      <w:pPr>
        <w:pStyle w:val="MAPPA-Bodytext"/>
        <w:rPr>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1E0" w:firstRow="1" w:lastRow="1" w:firstColumn="1" w:lastColumn="1" w:noHBand="0" w:noVBand="0"/>
      </w:tblPr>
      <w:tblGrid>
        <w:gridCol w:w="8370"/>
        <w:gridCol w:w="2089"/>
      </w:tblGrid>
      <w:tr w:rsidR="00332EE6" w14:paraId="5215139C" w14:textId="77777777" w:rsidTr="0069414D">
        <w:tc>
          <w:tcPr>
            <w:tcW w:w="8466" w:type="dxa"/>
            <w:shd w:val="clear" w:color="auto" w:fill="CCC0D9" w:themeFill="accent4" w:themeFillTint="66"/>
            <w:vAlign w:val="bottom"/>
          </w:tcPr>
          <w:p w14:paraId="4AAF13F1" w14:textId="77777777" w:rsidR="00332EE6" w:rsidRDefault="00332EE6" w:rsidP="00E558E2">
            <w:pPr>
              <w:pStyle w:val="StyleMAPPA-TabletextBold"/>
            </w:pPr>
            <w:r>
              <w:t>RSOs cautioned or convicted for breach of notification requirements</w:t>
            </w:r>
          </w:p>
        </w:tc>
        <w:tc>
          <w:tcPr>
            <w:tcW w:w="2113" w:type="dxa"/>
            <w:vAlign w:val="bottom"/>
          </w:tcPr>
          <w:p w14:paraId="399CDE9E" w14:textId="2254C3C8" w:rsidR="00332EE6" w:rsidRPr="00AB164C" w:rsidRDefault="00B22B4A" w:rsidP="00E558E2">
            <w:pPr>
              <w:pStyle w:val="MAPPA-Tabletext"/>
              <w:jc w:val="right"/>
              <w:rPr>
                <w:b/>
                <w:bCs/>
              </w:rPr>
            </w:pPr>
            <w:r>
              <w:rPr>
                <w:b/>
                <w:bCs/>
              </w:rPr>
              <w:t>27</w:t>
            </w:r>
          </w:p>
        </w:tc>
      </w:tr>
    </w:tbl>
    <w:p w14:paraId="0D9E3B11" w14:textId="77777777" w:rsidR="00332EE6" w:rsidRDefault="00332EE6" w:rsidP="00332EE6">
      <w:pPr>
        <w:pStyle w:val="MAPPA-Bodytext"/>
        <w:rPr>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1E0" w:firstRow="1" w:lastRow="1" w:firstColumn="1" w:lastColumn="1" w:noHBand="0" w:noVBand="0"/>
      </w:tblPr>
      <w:tblGrid>
        <w:gridCol w:w="8371"/>
        <w:gridCol w:w="2088"/>
      </w:tblGrid>
      <w:tr w:rsidR="00332EE6" w14:paraId="4C12104D" w14:textId="77777777" w:rsidTr="0069414D">
        <w:tc>
          <w:tcPr>
            <w:tcW w:w="8466" w:type="dxa"/>
            <w:shd w:val="clear" w:color="auto" w:fill="CCC0D9" w:themeFill="accent4" w:themeFillTint="66"/>
            <w:vAlign w:val="bottom"/>
          </w:tcPr>
          <w:p w14:paraId="0A4CA42A" w14:textId="1F88C421" w:rsidR="00332EE6" w:rsidRDefault="00332EE6" w:rsidP="00E558E2">
            <w:pPr>
              <w:pStyle w:val="StyleMAPPA-TabletextBold"/>
            </w:pPr>
            <w:r>
              <w:t xml:space="preserve">RSOs who have had their lifetime notification revoked on application </w:t>
            </w:r>
          </w:p>
        </w:tc>
        <w:tc>
          <w:tcPr>
            <w:tcW w:w="2113" w:type="dxa"/>
            <w:vAlign w:val="bottom"/>
          </w:tcPr>
          <w:p w14:paraId="3942A072" w14:textId="121591FB" w:rsidR="00332EE6" w:rsidRPr="00AB164C" w:rsidRDefault="00B22B4A" w:rsidP="00E558E2">
            <w:pPr>
              <w:pStyle w:val="MAPPA-Tabletext"/>
              <w:jc w:val="right"/>
              <w:rPr>
                <w:b/>
                <w:bCs/>
              </w:rPr>
            </w:pPr>
            <w:r>
              <w:rPr>
                <w:b/>
                <w:bCs/>
              </w:rPr>
              <w:t>6</w:t>
            </w:r>
          </w:p>
        </w:tc>
      </w:tr>
    </w:tbl>
    <w:p w14:paraId="6C084079" w14:textId="77777777" w:rsidR="00332EE6" w:rsidRDefault="00332EE6" w:rsidP="00332EE6">
      <w:pPr>
        <w:pStyle w:val="MAPPA-Bodytext"/>
        <w:rPr>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1E0" w:firstRow="1" w:lastRow="1" w:firstColumn="1" w:lastColumn="1" w:noHBand="0" w:noVBand="0"/>
      </w:tblPr>
      <w:tblGrid>
        <w:gridCol w:w="2103"/>
        <w:gridCol w:w="8356"/>
      </w:tblGrid>
      <w:tr w:rsidR="00332EE6" w14:paraId="3B31B2C9" w14:textId="77777777" w:rsidTr="0069414D">
        <w:tc>
          <w:tcPr>
            <w:tcW w:w="10459" w:type="dxa"/>
            <w:gridSpan w:val="2"/>
            <w:shd w:val="clear" w:color="auto" w:fill="CCC0D9" w:themeFill="accent4" w:themeFillTint="66"/>
            <w:vAlign w:val="bottom"/>
          </w:tcPr>
          <w:p w14:paraId="139E4E62" w14:textId="77777777" w:rsidR="00332EE6" w:rsidRPr="00B614A4" w:rsidRDefault="00332EE6" w:rsidP="00E558E2">
            <w:pPr>
              <w:pStyle w:val="StyleMAPPA-TabletextBold"/>
              <w:rPr>
                <w:szCs w:val="28"/>
              </w:rPr>
            </w:pPr>
            <w:r>
              <w:t>Restrictive orders for Category 1 offenders</w:t>
            </w:r>
          </w:p>
        </w:tc>
      </w:tr>
      <w:tr w:rsidR="00332EE6" w14:paraId="5053E2C3" w14:textId="77777777" w:rsidTr="0069414D">
        <w:tc>
          <w:tcPr>
            <w:tcW w:w="10459" w:type="dxa"/>
            <w:gridSpan w:val="2"/>
            <w:shd w:val="clear" w:color="auto" w:fill="CCC0D9" w:themeFill="accent4" w:themeFillTint="66"/>
            <w:vAlign w:val="bottom"/>
          </w:tcPr>
          <w:p w14:paraId="7CA490CC" w14:textId="77777777" w:rsidR="00332EE6" w:rsidRDefault="00332EE6" w:rsidP="00E558E2">
            <w:pPr>
              <w:pStyle w:val="StyleMAPPA-TabletextBold"/>
            </w:pPr>
            <w:r>
              <w:t>SHPOs, SHPOs with foreign travel restriction &amp; NOs imposed by the courts</w:t>
            </w:r>
          </w:p>
        </w:tc>
      </w:tr>
      <w:tr w:rsidR="00332EE6" w14:paraId="3A9F7245" w14:textId="77777777" w:rsidTr="00E558E2">
        <w:tc>
          <w:tcPr>
            <w:tcW w:w="2103" w:type="dxa"/>
            <w:vAlign w:val="bottom"/>
          </w:tcPr>
          <w:p w14:paraId="3D2F2809" w14:textId="77777777" w:rsidR="00332EE6" w:rsidRDefault="00332EE6" w:rsidP="00E558E2">
            <w:pPr>
              <w:pStyle w:val="MAPPA-Tabletext"/>
            </w:pPr>
            <w:r>
              <w:t>SHPO</w:t>
            </w:r>
          </w:p>
        </w:tc>
        <w:tc>
          <w:tcPr>
            <w:tcW w:w="8356" w:type="dxa"/>
            <w:vAlign w:val="bottom"/>
          </w:tcPr>
          <w:p w14:paraId="551FA8E6" w14:textId="448DB3F1" w:rsidR="00332EE6" w:rsidRPr="00AB164C" w:rsidRDefault="00264F70" w:rsidP="00E558E2">
            <w:pPr>
              <w:pStyle w:val="MAPPA-Tabletext"/>
              <w:jc w:val="right"/>
              <w:rPr>
                <w:b/>
                <w:bCs/>
              </w:rPr>
            </w:pPr>
            <w:r w:rsidRPr="00AB164C">
              <w:rPr>
                <w:b/>
                <w:bCs/>
              </w:rPr>
              <w:t>11</w:t>
            </w:r>
            <w:r w:rsidR="00B22B4A">
              <w:rPr>
                <w:b/>
                <w:bCs/>
              </w:rPr>
              <w:t>1</w:t>
            </w:r>
          </w:p>
        </w:tc>
      </w:tr>
      <w:tr w:rsidR="00332EE6" w14:paraId="2A57E5E5" w14:textId="77777777" w:rsidTr="00E558E2">
        <w:tc>
          <w:tcPr>
            <w:tcW w:w="2103" w:type="dxa"/>
            <w:vAlign w:val="bottom"/>
          </w:tcPr>
          <w:p w14:paraId="11EF9E6E" w14:textId="77777777" w:rsidR="00332EE6" w:rsidRDefault="00332EE6" w:rsidP="00E558E2">
            <w:pPr>
              <w:pStyle w:val="MAPPA-Tabletext"/>
            </w:pPr>
            <w:r>
              <w:t>SHPO with foreign travel restriction</w:t>
            </w:r>
          </w:p>
        </w:tc>
        <w:tc>
          <w:tcPr>
            <w:tcW w:w="8356" w:type="dxa"/>
            <w:vAlign w:val="bottom"/>
          </w:tcPr>
          <w:p w14:paraId="309DA1E0" w14:textId="74A7EA0C" w:rsidR="00332EE6" w:rsidRPr="00AB164C" w:rsidRDefault="00264F70" w:rsidP="00E558E2">
            <w:pPr>
              <w:pStyle w:val="MAPPA-Tabletext"/>
              <w:jc w:val="right"/>
              <w:rPr>
                <w:b/>
                <w:bCs/>
              </w:rPr>
            </w:pPr>
            <w:r w:rsidRPr="00AB164C">
              <w:rPr>
                <w:b/>
                <w:bCs/>
              </w:rPr>
              <w:t>0</w:t>
            </w:r>
          </w:p>
        </w:tc>
      </w:tr>
      <w:tr w:rsidR="00332EE6" w14:paraId="6A670663" w14:textId="77777777" w:rsidTr="00E558E2">
        <w:tc>
          <w:tcPr>
            <w:tcW w:w="2103" w:type="dxa"/>
            <w:vAlign w:val="bottom"/>
          </w:tcPr>
          <w:p w14:paraId="091B3BAA" w14:textId="77777777" w:rsidR="00332EE6" w:rsidRDefault="00332EE6" w:rsidP="00E558E2">
            <w:pPr>
              <w:pStyle w:val="MAPPA-Tabletext"/>
            </w:pPr>
            <w:r>
              <w:t>NOs</w:t>
            </w:r>
          </w:p>
        </w:tc>
        <w:tc>
          <w:tcPr>
            <w:tcW w:w="8356" w:type="dxa"/>
            <w:vAlign w:val="bottom"/>
          </w:tcPr>
          <w:p w14:paraId="74CCA872" w14:textId="60DB87C5" w:rsidR="00332EE6" w:rsidRPr="00AB164C" w:rsidRDefault="00264F70" w:rsidP="00E558E2">
            <w:pPr>
              <w:pStyle w:val="MAPPA-Tabletext"/>
              <w:jc w:val="right"/>
              <w:rPr>
                <w:b/>
                <w:bCs/>
              </w:rPr>
            </w:pPr>
            <w:r w:rsidRPr="00AB164C">
              <w:rPr>
                <w:b/>
                <w:bCs/>
              </w:rPr>
              <w:t>2</w:t>
            </w:r>
          </w:p>
        </w:tc>
      </w:tr>
    </w:tbl>
    <w:p w14:paraId="0D6CF03D" w14:textId="77777777" w:rsidR="00332EE6" w:rsidRDefault="00332EE6" w:rsidP="00332EE6">
      <w:pPr>
        <w:pStyle w:val="MAPPA-Bodytext"/>
        <w:rPr>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1E0" w:firstRow="1" w:lastRow="1" w:firstColumn="1" w:lastColumn="1" w:noHBand="0" w:noVBand="0"/>
      </w:tblPr>
      <w:tblGrid>
        <w:gridCol w:w="8371"/>
        <w:gridCol w:w="2088"/>
      </w:tblGrid>
      <w:tr w:rsidR="00332EE6" w14:paraId="4AB59281" w14:textId="77777777" w:rsidTr="0069414D">
        <w:tc>
          <w:tcPr>
            <w:tcW w:w="8466" w:type="dxa"/>
            <w:shd w:val="clear" w:color="auto" w:fill="CCC0D9" w:themeFill="accent4" w:themeFillTint="66"/>
            <w:vAlign w:val="bottom"/>
          </w:tcPr>
          <w:p w14:paraId="274919B2" w14:textId="77777777" w:rsidR="00332EE6" w:rsidRDefault="00332EE6" w:rsidP="00E558E2">
            <w:pPr>
              <w:pStyle w:val="StyleMAPPA-TabletextBold"/>
            </w:pPr>
            <w:r>
              <w:t xml:space="preserve">Number of people who became subject to notification requirements following a breach(es) of a Sexual Risk Order (SRO) </w:t>
            </w:r>
          </w:p>
        </w:tc>
        <w:tc>
          <w:tcPr>
            <w:tcW w:w="2113" w:type="dxa"/>
            <w:vAlign w:val="bottom"/>
          </w:tcPr>
          <w:p w14:paraId="3A6B8AB8" w14:textId="3FA180DC" w:rsidR="00332EE6" w:rsidRPr="00AB164C" w:rsidRDefault="00B22B4A" w:rsidP="00E558E2">
            <w:pPr>
              <w:pStyle w:val="MAPPA-Tabletext"/>
              <w:jc w:val="right"/>
              <w:rPr>
                <w:b/>
                <w:bCs/>
              </w:rPr>
            </w:pPr>
            <w:r>
              <w:rPr>
                <w:b/>
                <w:bCs/>
              </w:rPr>
              <w:t>0</w:t>
            </w:r>
          </w:p>
        </w:tc>
      </w:tr>
    </w:tbl>
    <w:p w14:paraId="32C23AA7" w14:textId="77777777" w:rsidR="00332EE6" w:rsidRDefault="00332EE6" w:rsidP="00332EE6">
      <w:pPr>
        <w:pStyle w:val="MAPPA-Bodytext"/>
        <w:spacing w:line="280" w:lineRule="exact"/>
        <w:sectPr w:rsidR="00332EE6" w:rsidSect="00867C9E">
          <w:footerReference w:type="default" r:id="rId23"/>
          <w:pgSz w:w="11905" w:h="16837" w:code="9"/>
          <w:pgMar w:top="720" w:right="720" w:bottom="720" w:left="720" w:header="720" w:footer="567" w:gutter="0"/>
          <w:cols w:space="720"/>
          <w:noEndnote/>
        </w:sectPr>
      </w:pPr>
    </w:p>
    <w:p w14:paraId="6050DFB3" w14:textId="77777777" w:rsidR="00332EE6" w:rsidRDefault="00332EE6" w:rsidP="00332EE6">
      <w:pPr>
        <w:pStyle w:val="MAPPA-Bodytext"/>
        <w:spacing w:line="280" w:lineRule="exact"/>
        <w:sectPr w:rsidR="00332EE6" w:rsidSect="00867C9E">
          <w:type w:val="continuous"/>
          <w:pgSz w:w="11905" w:h="16837" w:code="9"/>
          <w:pgMar w:top="720" w:right="720" w:bottom="720" w:left="720" w:header="720" w:footer="567" w:gutter="0"/>
          <w:cols w:space="720"/>
          <w:noEndnote/>
        </w:sectPr>
      </w:pPr>
    </w:p>
    <w:p w14:paraId="19A2B75D" w14:textId="77777777" w:rsidR="00332EE6" w:rsidRDefault="00332EE6" w:rsidP="00332EE6">
      <w:pPr>
        <w:pStyle w:val="MAPPA-Bodytext"/>
        <w:rPr>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1E0" w:firstRow="1" w:lastRow="1" w:firstColumn="1" w:lastColumn="1" w:noHBand="0" w:noVBand="0"/>
      </w:tblPr>
      <w:tblGrid>
        <w:gridCol w:w="2086"/>
        <w:gridCol w:w="2106"/>
        <w:gridCol w:w="2091"/>
        <w:gridCol w:w="2093"/>
        <w:gridCol w:w="2083"/>
      </w:tblGrid>
      <w:tr w:rsidR="00332EE6" w14:paraId="328AE53F" w14:textId="77777777" w:rsidTr="0069414D">
        <w:tc>
          <w:tcPr>
            <w:tcW w:w="10579" w:type="dxa"/>
            <w:gridSpan w:val="5"/>
            <w:shd w:val="clear" w:color="auto" w:fill="CCC0D9" w:themeFill="accent4" w:themeFillTint="66"/>
            <w:vAlign w:val="bottom"/>
          </w:tcPr>
          <w:p w14:paraId="12611C64" w14:textId="77777777" w:rsidR="00332EE6" w:rsidRPr="00B614A4" w:rsidRDefault="00332EE6" w:rsidP="00E558E2">
            <w:pPr>
              <w:pStyle w:val="StyleMAPPA-TabletextBold"/>
              <w:rPr>
                <w:rFonts w:ascii="Bliss 2 Bold" w:hAnsi="Bliss 2 Bold" w:cs="Bliss 2 Bold"/>
                <w:sz w:val="26"/>
                <w:szCs w:val="26"/>
              </w:rPr>
            </w:pPr>
            <w:r>
              <w:t>Level 2 and 3 offenders returned to custody</w:t>
            </w:r>
          </w:p>
        </w:tc>
      </w:tr>
      <w:tr w:rsidR="00332EE6" w14:paraId="5C3672D3" w14:textId="77777777" w:rsidTr="0069414D">
        <w:tc>
          <w:tcPr>
            <w:tcW w:w="2117" w:type="dxa"/>
            <w:shd w:val="clear" w:color="auto" w:fill="CCC0D9" w:themeFill="accent4" w:themeFillTint="66"/>
            <w:vAlign w:val="bottom"/>
          </w:tcPr>
          <w:p w14:paraId="15896F37" w14:textId="77777777" w:rsidR="00332EE6" w:rsidRDefault="00332EE6" w:rsidP="00E558E2">
            <w:pPr>
              <w:pStyle w:val="MAPPA-Tabletext"/>
            </w:pPr>
          </w:p>
        </w:tc>
        <w:tc>
          <w:tcPr>
            <w:tcW w:w="2125" w:type="dxa"/>
            <w:shd w:val="clear" w:color="auto" w:fill="CCC0D9" w:themeFill="accent4" w:themeFillTint="66"/>
            <w:vAlign w:val="bottom"/>
          </w:tcPr>
          <w:p w14:paraId="547C55D7" w14:textId="77777777" w:rsidR="00332EE6" w:rsidRDefault="00332EE6" w:rsidP="00E558E2">
            <w:pPr>
              <w:pStyle w:val="StyleMAPPA-TabletextBold"/>
              <w:jc w:val="right"/>
            </w:pPr>
            <w:r w:rsidRPr="00D83865">
              <w:t>Category 1:</w:t>
            </w:r>
            <w:r>
              <w:br/>
            </w:r>
            <w:r w:rsidRPr="00D83865">
              <w:t>Registered sex</w:t>
            </w:r>
            <w:r>
              <w:br/>
            </w:r>
            <w:r w:rsidRPr="00D83865">
              <w:t>offenders</w:t>
            </w:r>
          </w:p>
        </w:tc>
        <w:tc>
          <w:tcPr>
            <w:tcW w:w="2112" w:type="dxa"/>
            <w:shd w:val="clear" w:color="auto" w:fill="CCC0D9" w:themeFill="accent4" w:themeFillTint="66"/>
            <w:vAlign w:val="bottom"/>
          </w:tcPr>
          <w:p w14:paraId="40F5F02C" w14:textId="77777777" w:rsidR="00332EE6" w:rsidRDefault="00332EE6" w:rsidP="00E558E2">
            <w:pPr>
              <w:pStyle w:val="StyleMAPPA-TabletextBold"/>
              <w:jc w:val="right"/>
            </w:pPr>
            <w:r w:rsidRPr="00D83865">
              <w:t>Category 2:</w:t>
            </w:r>
            <w:r>
              <w:br/>
            </w:r>
            <w:r w:rsidRPr="00D83865">
              <w:t>Violent</w:t>
            </w:r>
            <w:r>
              <w:br/>
            </w:r>
            <w:r w:rsidRPr="00D83865">
              <w:t>offenders</w:t>
            </w:r>
          </w:p>
        </w:tc>
        <w:tc>
          <w:tcPr>
            <w:tcW w:w="2112" w:type="dxa"/>
            <w:shd w:val="clear" w:color="auto" w:fill="CCC0D9" w:themeFill="accent4" w:themeFillTint="66"/>
            <w:vAlign w:val="bottom"/>
          </w:tcPr>
          <w:p w14:paraId="360BA45F" w14:textId="77777777" w:rsidR="00332EE6" w:rsidRDefault="00332EE6" w:rsidP="00E558E2">
            <w:pPr>
              <w:pStyle w:val="StyleMAPPA-TabletextBold"/>
              <w:jc w:val="right"/>
            </w:pPr>
            <w:r w:rsidRPr="00D83865">
              <w:t>Category 3:</w:t>
            </w:r>
            <w:r>
              <w:br/>
            </w:r>
            <w:r w:rsidRPr="00D83865">
              <w:t>Other dangerous</w:t>
            </w:r>
            <w:r>
              <w:br/>
            </w:r>
            <w:r w:rsidRPr="00D83865">
              <w:t>offenders</w:t>
            </w:r>
          </w:p>
        </w:tc>
        <w:tc>
          <w:tcPr>
            <w:tcW w:w="2113" w:type="dxa"/>
            <w:shd w:val="clear" w:color="auto" w:fill="CCC0D9" w:themeFill="accent4" w:themeFillTint="66"/>
            <w:vAlign w:val="bottom"/>
          </w:tcPr>
          <w:p w14:paraId="77ADA8ED" w14:textId="77777777" w:rsidR="00332EE6" w:rsidRDefault="00332EE6" w:rsidP="00E558E2">
            <w:pPr>
              <w:pStyle w:val="StyleMAPPA-TabletextBold"/>
              <w:jc w:val="right"/>
            </w:pPr>
            <w:r w:rsidRPr="00D83865">
              <w:t>Total</w:t>
            </w:r>
          </w:p>
        </w:tc>
      </w:tr>
      <w:tr w:rsidR="00332EE6" w14:paraId="3B2ECB60" w14:textId="77777777" w:rsidTr="0069414D">
        <w:tc>
          <w:tcPr>
            <w:tcW w:w="10579" w:type="dxa"/>
            <w:gridSpan w:val="5"/>
            <w:shd w:val="clear" w:color="auto" w:fill="CCC0D9" w:themeFill="accent4" w:themeFillTint="66"/>
            <w:vAlign w:val="bottom"/>
          </w:tcPr>
          <w:p w14:paraId="2FDFE3B1" w14:textId="77777777" w:rsidR="00332EE6" w:rsidRPr="00B614A4" w:rsidRDefault="00332EE6" w:rsidP="00E558E2">
            <w:pPr>
              <w:pStyle w:val="StyleMAPPA-TabletextBold"/>
              <w:rPr>
                <w:rFonts w:ascii="Bliss 2 Bold" w:hAnsi="Bliss 2 Bold" w:cs="Bliss 2 Bold"/>
                <w:sz w:val="26"/>
                <w:szCs w:val="26"/>
              </w:rPr>
            </w:pPr>
            <w:r>
              <w:t>Breach of</w:t>
            </w:r>
            <w:r w:rsidRPr="0091273E">
              <w:rPr>
                <w:lang w:val="en-GB"/>
              </w:rPr>
              <w:t xml:space="preserve"> licence</w:t>
            </w:r>
          </w:p>
        </w:tc>
      </w:tr>
      <w:tr w:rsidR="00332EE6" w14:paraId="6A73DC66" w14:textId="77777777" w:rsidTr="00E558E2">
        <w:tc>
          <w:tcPr>
            <w:tcW w:w="2117" w:type="dxa"/>
            <w:vAlign w:val="bottom"/>
          </w:tcPr>
          <w:p w14:paraId="0D3D060F" w14:textId="77777777" w:rsidR="00332EE6" w:rsidRDefault="00332EE6" w:rsidP="00E558E2">
            <w:pPr>
              <w:pStyle w:val="MAPPA-Tabletext"/>
            </w:pPr>
            <w:r>
              <w:t>Level 2</w:t>
            </w:r>
          </w:p>
        </w:tc>
        <w:tc>
          <w:tcPr>
            <w:tcW w:w="2125" w:type="dxa"/>
            <w:vAlign w:val="bottom"/>
          </w:tcPr>
          <w:p w14:paraId="791E1B4D" w14:textId="3B805E3C" w:rsidR="00332EE6" w:rsidRPr="00AB164C" w:rsidRDefault="001C5724" w:rsidP="00E558E2">
            <w:pPr>
              <w:pStyle w:val="MAPPA-Tabletext"/>
              <w:jc w:val="right"/>
              <w:rPr>
                <w:b/>
                <w:bCs/>
              </w:rPr>
            </w:pPr>
            <w:r w:rsidRPr="00AB164C">
              <w:rPr>
                <w:b/>
                <w:bCs/>
              </w:rPr>
              <w:t>1</w:t>
            </w:r>
          </w:p>
        </w:tc>
        <w:tc>
          <w:tcPr>
            <w:tcW w:w="2112" w:type="dxa"/>
            <w:vAlign w:val="bottom"/>
          </w:tcPr>
          <w:p w14:paraId="130A5F79" w14:textId="1C1DDB34" w:rsidR="00332EE6" w:rsidRPr="00AB164C" w:rsidRDefault="00C3458D" w:rsidP="00E558E2">
            <w:pPr>
              <w:pStyle w:val="MAPPA-Tabletext"/>
              <w:jc w:val="right"/>
              <w:rPr>
                <w:b/>
                <w:bCs/>
              </w:rPr>
            </w:pPr>
            <w:r>
              <w:rPr>
                <w:b/>
                <w:bCs/>
              </w:rPr>
              <w:t>3</w:t>
            </w:r>
          </w:p>
        </w:tc>
        <w:tc>
          <w:tcPr>
            <w:tcW w:w="2112" w:type="dxa"/>
            <w:vAlign w:val="bottom"/>
          </w:tcPr>
          <w:p w14:paraId="0FFD5A3C" w14:textId="0348F3D2" w:rsidR="00332EE6" w:rsidRPr="00AB164C" w:rsidRDefault="00C3458D" w:rsidP="00E558E2">
            <w:pPr>
              <w:pStyle w:val="MAPPA-Tabletext"/>
              <w:jc w:val="right"/>
              <w:rPr>
                <w:b/>
                <w:bCs/>
              </w:rPr>
            </w:pPr>
            <w:r>
              <w:rPr>
                <w:b/>
                <w:bCs/>
              </w:rPr>
              <w:t>4</w:t>
            </w:r>
          </w:p>
        </w:tc>
        <w:tc>
          <w:tcPr>
            <w:tcW w:w="2113" w:type="dxa"/>
            <w:vAlign w:val="bottom"/>
          </w:tcPr>
          <w:p w14:paraId="057B68E5" w14:textId="4300F500" w:rsidR="00332EE6" w:rsidRPr="00AB164C" w:rsidRDefault="00C3458D" w:rsidP="00E558E2">
            <w:pPr>
              <w:pStyle w:val="MAPPA-Tabletext"/>
              <w:jc w:val="right"/>
              <w:rPr>
                <w:b/>
                <w:bCs/>
              </w:rPr>
            </w:pPr>
            <w:r>
              <w:rPr>
                <w:b/>
                <w:bCs/>
              </w:rPr>
              <w:t>8</w:t>
            </w:r>
          </w:p>
        </w:tc>
      </w:tr>
      <w:tr w:rsidR="00332EE6" w14:paraId="3A95E596" w14:textId="77777777" w:rsidTr="00E558E2">
        <w:tc>
          <w:tcPr>
            <w:tcW w:w="2117" w:type="dxa"/>
            <w:vAlign w:val="bottom"/>
          </w:tcPr>
          <w:p w14:paraId="79DB32A2" w14:textId="77777777" w:rsidR="00332EE6" w:rsidRDefault="00332EE6" w:rsidP="00E558E2">
            <w:pPr>
              <w:pStyle w:val="MAPPA-Tabletext"/>
            </w:pPr>
            <w:r>
              <w:t>Level 3</w:t>
            </w:r>
          </w:p>
        </w:tc>
        <w:tc>
          <w:tcPr>
            <w:tcW w:w="2125" w:type="dxa"/>
            <w:vAlign w:val="bottom"/>
          </w:tcPr>
          <w:p w14:paraId="69325B2C" w14:textId="31E37C8C" w:rsidR="00332EE6" w:rsidRPr="00AB164C" w:rsidRDefault="00C3458D" w:rsidP="00E558E2">
            <w:pPr>
              <w:pStyle w:val="MAPPA-Tabletext"/>
              <w:jc w:val="right"/>
              <w:rPr>
                <w:b/>
                <w:bCs/>
              </w:rPr>
            </w:pPr>
            <w:r>
              <w:rPr>
                <w:b/>
                <w:bCs/>
              </w:rPr>
              <w:t>2</w:t>
            </w:r>
          </w:p>
        </w:tc>
        <w:tc>
          <w:tcPr>
            <w:tcW w:w="2112" w:type="dxa"/>
            <w:vAlign w:val="bottom"/>
          </w:tcPr>
          <w:p w14:paraId="4BE09D98" w14:textId="7A191BF7" w:rsidR="00332EE6" w:rsidRPr="00AB164C" w:rsidRDefault="001C5724" w:rsidP="00E558E2">
            <w:pPr>
              <w:pStyle w:val="MAPPA-Tabletext"/>
              <w:jc w:val="right"/>
              <w:rPr>
                <w:b/>
                <w:bCs/>
              </w:rPr>
            </w:pPr>
            <w:r w:rsidRPr="00AB164C">
              <w:rPr>
                <w:b/>
                <w:bCs/>
              </w:rPr>
              <w:t>0</w:t>
            </w:r>
          </w:p>
        </w:tc>
        <w:tc>
          <w:tcPr>
            <w:tcW w:w="2112" w:type="dxa"/>
            <w:vAlign w:val="bottom"/>
          </w:tcPr>
          <w:p w14:paraId="030ABEAB" w14:textId="2578CF9A" w:rsidR="00332EE6" w:rsidRPr="00AB164C" w:rsidRDefault="001C5724" w:rsidP="00E558E2">
            <w:pPr>
              <w:pStyle w:val="MAPPA-Tabletext"/>
              <w:jc w:val="right"/>
              <w:rPr>
                <w:b/>
                <w:bCs/>
              </w:rPr>
            </w:pPr>
            <w:r w:rsidRPr="00AB164C">
              <w:rPr>
                <w:b/>
                <w:bCs/>
              </w:rPr>
              <w:t>0</w:t>
            </w:r>
          </w:p>
        </w:tc>
        <w:tc>
          <w:tcPr>
            <w:tcW w:w="2113" w:type="dxa"/>
            <w:vAlign w:val="bottom"/>
          </w:tcPr>
          <w:p w14:paraId="4E414F8E" w14:textId="7455C8C3" w:rsidR="00332EE6" w:rsidRPr="00AB164C" w:rsidRDefault="00C3458D" w:rsidP="00E558E2">
            <w:pPr>
              <w:pStyle w:val="MAPPA-Tabletext"/>
              <w:jc w:val="right"/>
              <w:rPr>
                <w:b/>
                <w:bCs/>
              </w:rPr>
            </w:pPr>
            <w:r>
              <w:rPr>
                <w:b/>
                <w:bCs/>
              </w:rPr>
              <w:t>2</w:t>
            </w:r>
          </w:p>
        </w:tc>
      </w:tr>
      <w:tr w:rsidR="00332EE6" w14:paraId="45E35669" w14:textId="77777777" w:rsidTr="00E558E2">
        <w:tc>
          <w:tcPr>
            <w:tcW w:w="2117" w:type="dxa"/>
            <w:vAlign w:val="bottom"/>
          </w:tcPr>
          <w:p w14:paraId="239584A9" w14:textId="77777777" w:rsidR="00332EE6" w:rsidRDefault="00332EE6" w:rsidP="00E558E2">
            <w:pPr>
              <w:pStyle w:val="MAPPA-Tabletext"/>
            </w:pPr>
            <w:r>
              <w:t>Total</w:t>
            </w:r>
          </w:p>
        </w:tc>
        <w:tc>
          <w:tcPr>
            <w:tcW w:w="2125" w:type="dxa"/>
            <w:vAlign w:val="bottom"/>
          </w:tcPr>
          <w:p w14:paraId="3A0F00B7" w14:textId="22FF879C" w:rsidR="00332EE6" w:rsidRPr="00AB164C" w:rsidRDefault="00C3458D" w:rsidP="00E558E2">
            <w:pPr>
              <w:pStyle w:val="MAPPA-Tabletext"/>
              <w:jc w:val="right"/>
              <w:rPr>
                <w:b/>
                <w:bCs/>
              </w:rPr>
            </w:pPr>
            <w:r>
              <w:rPr>
                <w:b/>
                <w:bCs/>
              </w:rPr>
              <w:t>3</w:t>
            </w:r>
          </w:p>
        </w:tc>
        <w:tc>
          <w:tcPr>
            <w:tcW w:w="2112" w:type="dxa"/>
            <w:vAlign w:val="bottom"/>
          </w:tcPr>
          <w:p w14:paraId="6C9B4498" w14:textId="2D3DDD4C" w:rsidR="00332EE6" w:rsidRPr="00AB164C" w:rsidRDefault="00C3458D" w:rsidP="00E558E2">
            <w:pPr>
              <w:pStyle w:val="MAPPA-Tabletext"/>
              <w:jc w:val="right"/>
              <w:rPr>
                <w:b/>
                <w:bCs/>
              </w:rPr>
            </w:pPr>
            <w:r>
              <w:rPr>
                <w:b/>
                <w:bCs/>
              </w:rPr>
              <w:t>3</w:t>
            </w:r>
          </w:p>
        </w:tc>
        <w:tc>
          <w:tcPr>
            <w:tcW w:w="2112" w:type="dxa"/>
            <w:vAlign w:val="bottom"/>
          </w:tcPr>
          <w:p w14:paraId="1BA36C70" w14:textId="1D09C5BE" w:rsidR="00332EE6" w:rsidRPr="00AB164C" w:rsidRDefault="00C3458D" w:rsidP="00E558E2">
            <w:pPr>
              <w:pStyle w:val="MAPPA-Tabletext"/>
              <w:jc w:val="right"/>
              <w:rPr>
                <w:b/>
                <w:bCs/>
              </w:rPr>
            </w:pPr>
            <w:r>
              <w:rPr>
                <w:b/>
                <w:bCs/>
              </w:rPr>
              <w:t>4</w:t>
            </w:r>
          </w:p>
        </w:tc>
        <w:tc>
          <w:tcPr>
            <w:tcW w:w="2113" w:type="dxa"/>
            <w:vAlign w:val="bottom"/>
          </w:tcPr>
          <w:p w14:paraId="6783C9D8" w14:textId="3ED63DEC" w:rsidR="00332EE6" w:rsidRPr="00AB164C" w:rsidRDefault="00C3458D" w:rsidP="00E558E2">
            <w:pPr>
              <w:pStyle w:val="MAPPA-Tabletext"/>
              <w:jc w:val="right"/>
              <w:rPr>
                <w:b/>
                <w:bCs/>
              </w:rPr>
            </w:pPr>
            <w:r>
              <w:rPr>
                <w:b/>
                <w:bCs/>
              </w:rPr>
              <w:t>10</w:t>
            </w:r>
          </w:p>
        </w:tc>
      </w:tr>
      <w:tr w:rsidR="00332EE6" w14:paraId="10989447" w14:textId="77777777" w:rsidTr="0069414D">
        <w:tc>
          <w:tcPr>
            <w:tcW w:w="10579" w:type="dxa"/>
            <w:gridSpan w:val="5"/>
            <w:shd w:val="clear" w:color="auto" w:fill="CCC0D9" w:themeFill="accent4" w:themeFillTint="66"/>
            <w:vAlign w:val="bottom"/>
          </w:tcPr>
          <w:p w14:paraId="3D76C60C" w14:textId="77777777" w:rsidR="00332EE6" w:rsidRPr="00B614A4" w:rsidRDefault="00332EE6" w:rsidP="00E558E2">
            <w:pPr>
              <w:pStyle w:val="StyleMAPPA-TabletextBold"/>
              <w:rPr>
                <w:rFonts w:ascii="Bliss 2 Bold" w:hAnsi="Bliss 2 Bold" w:cs="Bliss 2 Bold"/>
                <w:sz w:val="26"/>
                <w:szCs w:val="26"/>
              </w:rPr>
            </w:pPr>
            <w:r>
              <w:t>Breach of SOPO</w:t>
            </w:r>
          </w:p>
        </w:tc>
      </w:tr>
      <w:tr w:rsidR="00332EE6" w14:paraId="642929D3" w14:textId="77777777" w:rsidTr="00E558E2">
        <w:tc>
          <w:tcPr>
            <w:tcW w:w="2117" w:type="dxa"/>
            <w:vAlign w:val="bottom"/>
          </w:tcPr>
          <w:p w14:paraId="487D1A12" w14:textId="77777777" w:rsidR="00332EE6" w:rsidRDefault="00332EE6" w:rsidP="00E558E2">
            <w:pPr>
              <w:pStyle w:val="MAPPA-Tabletext"/>
            </w:pPr>
            <w:r>
              <w:t>Level 2</w:t>
            </w:r>
          </w:p>
        </w:tc>
        <w:tc>
          <w:tcPr>
            <w:tcW w:w="2125" w:type="dxa"/>
            <w:vAlign w:val="bottom"/>
          </w:tcPr>
          <w:p w14:paraId="025DF9D0" w14:textId="11949F0E" w:rsidR="00332EE6" w:rsidRPr="00AB164C" w:rsidRDefault="001C5724" w:rsidP="00E558E2">
            <w:pPr>
              <w:pStyle w:val="MAPPA-Tabletext"/>
              <w:jc w:val="right"/>
              <w:rPr>
                <w:b/>
                <w:bCs/>
              </w:rPr>
            </w:pPr>
            <w:r w:rsidRPr="00AB164C">
              <w:rPr>
                <w:b/>
                <w:bCs/>
              </w:rPr>
              <w:t>0</w:t>
            </w:r>
          </w:p>
        </w:tc>
        <w:tc>
          <w:tcPr>
            <w:tcW w:w="2112" w:type="dxa"/>
            <w:vAlign w:val="bottom"/>
          </w:tcPr>
          <w:p w14:paraId="6A4548CC" w14:textId="775FE9CE" w:rsidR="00332EE6" w:rsidRPr="00AB164C" w:rsidRDefault="001C5724" w:rsidP="00E558E2">
            <w:pPr>
              <w:pStyle w:val="MAPPA-Tabletext"/>
              <w:jc w:val="right"/>
              <w:rPr>
                <w:b/>
                <w:bCs/>
              </w:rPr>
            </w:pPr>
            <w:r w:rsidRPr="00AB164C">
              <w:rPr>
                <w:b/>
                <w:bCs/>
              </w:rPr>
              <w:t>-</w:t>
            </w:r>
          </w:p>
        </w:tc>
        <w:tc>
          <w:tcPr>
            <w:tcW w:w="2112" w:type="dxa"/>
            <w:vAlign w:val="bottom"/>
          </w:tcPr>
          <w:p w14:paraId="7F06A8B4" w14:textId="26E8ADD7" w:rsidR="00332EE6" w:rsidRPr="00AB164C" w:rsidRDefault="001C5724" w:rsidP="00E558E2">
            <w:pPr>
              <w:pStyle w:val="MAPPA-Tabletext"/>
              <w:jc w:val="right"/>
              <w:rPr>
                <w:b/>
                <w:bCs/>
              </w:rPr>
            </w:pPr>
            <w:r w:rsidRPr="00AB164C">
              <w:rPr>
                <w:b/>
                <w:bCs/>
              </w:rPr>
              <w:t>-</w:t>
            </w:r>
          </w:p>
        </w:tc>
        <w:tc>
          <w:tcPr>
            <w:tcW w:w="2113" w:type="dxa"/>
            <w:vAlign w:val="bottom"/>
          </w:tcPr>
          <w:p w14:paraId="3D82F621" w14:textId="42916219" w:rsidR="00332EE6" w:rsidRPr="00AB164C" w:rsidRDefault="001C5724" w:rsidP="00E558E2">
            <w:pPr>
              <w:pStyle w:val="MAPPA-Tabletext"/>
              <w:jc w:val="right"/>
              <w:rPr>
                <w:b/>
                <w:bCs/>
              </w:rPr>
            </w:pPr>
            <w:r w:rsidRPr="00AB164C">
              <w:rPr>
                <w:b/>
                <w:bCs/>
              </w:rPr>
              <w:t>0</w:t>
            </w:r>
          </w:p>
        </w:tc>
      </w:tr>
      <w:tr w:rsidR="00332EE6" w14:paraId="10F85E1A" w14:textId="77777777" w:rsidTr="00E558E2">
        <w:tc>
          <w:tcPr>
            <w:tcW w:w="2117" w:type="dxa"/>
            <w:vAlign w:val="bottom"/>
          </w:tcPr>
          <w:p w14:paraId="1A367BB1" w14:textId="77777777" w:rsidR="00332EE6" w:rsidRDefault="00332EE6" w:rsidP="00E558E2">
            <w:pPr>
              <w:pStyle w:val="MAPPA-Tabletext"/>
            </w:pPr>
            <w:r>
              <w:t>Level 3</w:t>
            </w:r>
          </w:p>
        </w:tc>
        <w:tc>
          <w:tcPr>
            <w:tcW w:w="2125" w:type="dxa"/>
            <w:vAlign w:val="bottom"/>
          </w:tcPr>
          <w:p w14:paraId="3733E854" w14:textId="0DA6A645" w:rsidR="00332EE6" w:rsidRPr="00AB164C" w:rsidRDefault="001C5724" w:rsidP="00E558E2">
            <w:pPr>
              <w:pStyle w:val="MAPPA-Tabletext"/>
              <w:jc w:val="right"/>
              <w:rPr>
                <w:b/>
                <w:bCs/>
              </w:rPr>
            </w:pPr>
            <w:r w:rsidRPr="00AB164C">
              <w:rPr>
                <w:b/>
                <w:bCs/>
              </w:rPr>
              <w:t>0</w:t>
            </w:r>
          </w:p>
        </w:tc>
        <w:tc>
          <w:tcPr>
            <w:tcW w:w="2112" w:type="dxa"/>
            <w:vAlign w:val="bottom"/>
          </w:tcPr>
          <w:p w14:paraId="5D64ACBD" w14:textId="359976DA" w:rsidR="00332EE6" w:rsidRPr="00AB164C" w:rsidRDefault="001C5724" w:rsidP="00E558E2">
            <w:pPr>
              <w:pStyle w:val="MAPPA-Tabletext"/>
              <w:jc w:val="right"/>
              <w:rPr>
                <w:b/>
                <w:bCs/>
              </w:rPr>
            </w:pPr>
            <w:r w:rsidRPr="00AB164C">
              <w:rPr>
                <w:b/>
                <w:bCs/>
              </w:rPr>
              <w:t>-</w:t>
            </w:r>
          </w:p>
        </w:tc>
        <w:tc>
          <w:tcPr>
            <w:tcW w:w="2112" w:type="dxa"/>
            <w:vAlign w:val="bottom"/>
          </w:tcPr>
          <w:p w14:paraId="7A43C0C6" w14:textId="4761E600" w:rsidR="00332EE6" w:rsidRPr="00AB164C" w:rsidRDefault="001C5724" w:rsidP="00E558E2">
            <w:pPr>
              <w:pStyle w:val="MAPPA-Tabletext"/>
              <w:jc w:val="right"/>
              <w:rPr>
                <w:b/>
                <w:bCs/>
              </w:rPr>
            </w:pPr>
            <w:r w:rsidRPr="00AB164C">
              <w:rPr>
                <w:b/>
                <w:bCs/>
              </w:rPr>
              <w:t>-</w:t>
            </w:r>
          </w:p>
        </w:tc>
        <w:tc>
          <w:tcPr>
            <w:tcW w:w="2113" w:type="dxa"/>
            <w:vAlign w:val="bottom"/>
          </w:tcPr>
          <w:p w14:paraId="14475E46" w14:textId="5E6D34F1" w:rsidR="00332EE6" w:rsidRPr="00AB164C" w:rsidRDefault="001C5724" w:rsidP="00E558E2">
            <w:pPr>
              <w:pStyle w:val="MAPPA-Tabletext"/>
              <w:jc w:val="right"/>
              <w:rPr>
                <w:b/>
                <w:bCs/>
              </w:rPr>
            </w:pPr>
            <w:r w:rsidRPr="00AB164C">
              <w:rPr>
                <w:b/>
                <w:bCs/>
              </w:rPr>
              <w:t>0</w:t>
            </w:r>
          </w:p>
        </w:tc>
      </w:tr>
      <w:tr w:rsidR="00332EE6" w14:paraId="4902F3AD" w14:textId="77777777" w:rsidTr="00E558E2">
        <w:tc>
          <w:tcPr>
            <w:tcW w:w="2117" w:type="dxa"/>
            <w:vAlign w:val="bottom"/>
          </w:tcPr>
          <w:p w14:paraId="233EC78A" w14:textId="77777777" w:rsidR="00332EE6" w:rsidRDefault="00332EE6" w:rsidP="00E558E2">
            <w:pPr>
              <w:pStyle w:val="MAPPA-Tabletext"/>
            </w:pPr>
            <w:r>
              <w:t>Total</w:t>
            </w:r>
          </w:p>
        </w:tc>
        <w:tc>
          <w:tcPr>
            <w:tcW w:w="2125" w:type="dxa"/>
            <w:vAlign w:val="bottom"/>
          </w:tcPr>
          <w:p w14:paraId="3A79C689" w14:textId="4D4551CC" w:rsidR="00332EE6" w:rsidRPr="00AB164C" w:rsidRDefault="001C5724" w:rsidP="00E558E2">
            <w:pPr>
              <w:pStyle w:val="MAPPA-Tabletext"/>
              <w:jc w:val="right"/>
              <w:rPr>
                <w:b/>
                <w:bCs/>
              </w:rPr>
            </w:pPr>
            <w:r w:rsidRPr="00AB164C">
              <w:rPr>
                <w:b/>
                <w:bCs/>
              </w:rPr>
              <w:t>0</w:t>
            </w:r>
          </w:p>
        </w:tc>
        <w:tc>
          <w:tcPr>
            <w:tcW w:w="2112" w:type="dxa"/>
            <w:vAlign w:val="bottom"/>
          </w:tcPr>
          <w:p w14:paraId="6CC24198" w14:textId="5B715C24" w:rsidR="00332EE6" w:rsidRPr="00AB164C" w:rsidRDefault="001C5724" w:rsidP="00E558E2">
            <w:pPr>
              <w:pStyle w:val="MAPPA-Tabletext"/>
              <w:jc w:val="right"/>
              <w:rPr>
                <w:b/>
                <w:bCs/>
              </w:rPr>
            </w:pPr>
            <w:r w:rsidRPr="00AB164C">
              <w:rPr>
                <w:b/>
                <w:bCs/>
              </w:rPr>
              <w:t>-</w:t>
            </w:r>
          </w:p>
        </w:tc>
        <w:tc>
          <w:tcPr>
            <w:tcW w:w="2112" w:type="dxa"/>
            <w:vAlign w:val="bottom"/>
          </w:tcPr>
          <w:p w14:paraId="735B5D86" w14:textId="11C16020" w:rsidR="00332EE6" w:rsidRPr="00AB164C" w:rsidRDefault="001C5724" w:rsidP="00E558E2">
            <w:pPr>
              <w:pStyle w:val="MAPPA-Tabletext"/>
              <w:jc w:val="right"/>
              <w:rPr>
                <w:b/>
                <w:bCs/>
              </w:rPr>
            </w:pPr>
            <w:r w:rsidRPr="00AB164C">
              <w:rPr>
                <w:b/>
                <w:bCs/>
              </w:rPr>
              <w:t>-</w:t>
            </w:r>
          </w:p>
        </w:tc>
        <w:tc>
          <w:tcPr>
            <w:tcW w:w="2113" w:type="dxa"/>
            <w:vAlign w:val="bottom"/>
          </w:tcPr>
          <w:p w14:paraId="131FE0E2" w14:textId="1E94F5EB" w:rsidR="00332EE6" w:rsidRPr="00AB164C" w:rsidRDefault="001C5724" w:rsidP="00E558E2">
            <w:pPr>
              <w:pStyle w:val="MAPPA-Tabletext"/>
              <w:jc w:val="right"/>
              <w:rPr>
                <w:b/>
                <w:bCs/>
              </w:rPr>
            </w:pPr>
            <w:r w:rsidRPr="00AB164C">
              <w:rPr>
                <w:b/>
                <w:bCs/>
              </w:rPr>
              <w:t>0</w:t>
            </w:r>
          </w:p>
        </w:tc>
      </w:tr>
    </w:tbl>
    <w:p w14:paraId="114B08D2" w14:textId="77777777" w:rsidR="00332EE6" w:rsidRDefault="00332EE6" w:rsidP="00332EE6">
      <w:pPr>
        <w:pStyle w:val="MAPPA-Bodytext"/>
        <w:rPr>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1E0" w:firstRow="1" w:lastRow="1" w:firstColumn="1" w:lastColumn="1" w:noHBand="0" w:noVBand="0"/>
      </w:tblPr>
      <w:tblGrid>
        <w:gridCol w:w="8368"/>
        <w:gridCol w:w="2091"/>
      </w:tblGrid>
      <w:tr w:rsidR="00332EE6" w:rsidRPr="00D929AA" w14:paraId="0105A2DD" w14:textId="77777777" w:rsidTr="0069414D">
        <w:tc>
          <w:tcPr>
            <w:tcW w:w="8466" w:type="dxa"/>
            <w:shd w:val="clear" w:color="auto" w:fill="CCC0D9" w:themeFill="accent4" w:themeFillTint="66"/>
            <w:vAlign w:val="bottom"/>
          </w:tcPr>
          <w:p w14:paraId="069E1305" w14:textId="77777777" w:rsidR="00332EE6" w:rsidRPr="00D929AA" w:rsidRDefault="00332EE6" w:rsidP="00E558E2">
            <w:pPr>
              <w:pStyle w:val="StyleMAPPA-TabletextBold"/>
            </w:pPr>
            <w:r w:rsidRPr="00D929AA">
              <w:t>Total number of Registered Sexual Offenders per 100,000 population</w:t>
            </w:r>
          </w:p>
        </w:tc>
        <w:tc>
          <w:tcPr>
            <w:tcW w:w="2113" w:type="dxa"/>
            <w:vAlign w:val="bottom"/>
          </w:tcPr>
          <w:p w14:paraId="794C592A" w14:textId="28E0D2DC" w:rsidR="00332EE6" w:rsidRPr="00AB164C" w:rsidRDefault="001C5724" w:rsidP="00E558E2">
            <w:pPr>
              <w:pStyle w:val="MAPPA-Tabletext"/>
              <w:jc w:val="right"/>
              <w:rPr>
                <w:b/>
                <w:bCs/>
              </w:rPr>
            </w:pPr>
            <w:r w:rsidRPr="00AB164C">
              <w:rPr>
                <w:b/>
                <w:bCs/>
              </w:rPr>
              <w:t>1</w:t>
            </w:r>
            <w:r w:rsidR="00C3458D">
              <w:rPr>
                <w:b/>
                <w:bCs/>
              </w:rPr>
              <w:t>40</w:t>
            </w:r>
          </w:p>
        </w:tc>
      </w:tr>
    </w:tbl>
    <w:p w14:paraId="50459C7A" w14:textId="77777777" w:rsidR="00332EE6" w:rsidRPr="001F3FB5" w:rsidRDefault="00332EE6" w:rsidP="00332EE6">
      <w:pPr>
        <w:rPr>
          <w:rFonts w:ascii="Arial" w:hAnsi="Arial" w:cs="Arial"/>
          <w:sz w:val="20"/>
          <w:szCs w:val="20"/>
        </w:rPr>
      </w:pPr>
    </w:p>
    <w:p w14:paraId="6345CFBF" w14:textId="36BBB662" w:rsidR="00AB164C" w:rsidRPr="00AB164C" w:rsidRDefault="00AB164C" w:rsidP="00AB164C">
      <w:pPr>
        <w:rPr>
          <w:rFonts w:ascii="Arial" w:hAnsi="Arial" w:cs="Arial"/>
        </w:rPr>
      </w:pPr>
      <w:r w:rsidRPr="00AB164C">
        <w:rPr>
          <w:rFonts w:ascii="Arial" w:hAnsi="Arial" w:cs="Arial"/>
        </w:rPr>
        <w:t>This figure has been calculated using the mid-2021 estimated resident population, published by the Office for National Statistics (ONS) on 21 December 202</w:t>
      </w:r>
      <w:r w:rsidR="009612F0">
        <w:rPr>
          <w:rFonts w:ascii="Arial" w:hAnsi="Arial" w:cs="Arial"/>
        </w:rPr>
        <w:t>2</w:t>
      </w:r>
      <w:r w:rsidRPr="00AB164C">
        <w:rPr>
          <w:rFonts w:ascii="Arial" w:hAnsi="Arial" w:cs="Arial"/>
        </w:rPr>
        <w:t xml:space="preserve">, excluding those aged less than ten years of age. </w:t>
      </w:r>
    </w:p>
    <w:p w14:paraId="083FC7E1" w14:textId="77777777" w:rsidR="00AB164C" w:rsidRPr="00AB164C" w:rsidRDefault="00AB164C" w:rsidP="00AB164C">
      <w:pPr>
        <w:rPr>
          <w:rFonts w:ascii="Arial" w:hAnsi="Arial" w:cs="Arial"/>
        </w:rPr>
      </w:pPr>
    </w:p>
    <w:p w14:paraId="61B809BF" w14:textId="2492781E" w:rsidR="00332EE6" w:rsidRPr="00AB164C" w:rsidRDefault="00AB164C" w:rsidP="00AB164C">
      <w:pPr>
        <w:pStyle w:val="MAPPA-Bodytext"/>
        <w:sectPr w:rsidR="00332EE6" w:rsidRPr="00AB164C" w:rsidSect="00867C9E">
          <w:footerReference w:type="default" r:id="rId24"/>
          <w:type w:val="continuous"/>
          <w:pgSz w:w="11905" w:h="16837" w:code="9"/>
          <w:pgMar w:top="720" w:right="720" w:bottom="720" w:left="720" w:header="720" w:footer="567" w:gutter="0"/>
          <w:cols w:space="720"/>
          <w:noEndnote/>
        </w:sectPr>
      </w:pPr>
      <w:r w:rsidRPr="00AB164C">
        <w:rPr>
          <w:sz w:val="24"/>
          <w:szCs w:val="24"/>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r>
        <w:rPr>
          <w:sz w:val="24"/>
          <w:szCs w:val="24"/>
        </w:rPr>
        <w:t>.</w:t>
      </w:r>
    </w:p>
    <w:p w14:paraId="6C5AD141" w14:textId="77777777" w:rsidR="00332EE6" w:rsidRDefault="00332EE6" w:rsidP="00332EE6">
      <w:pPr>
        <w:pStyle w:val="MAPPA-Bodytext"/>
        <w:spacing w:line="280" w:lineRule="exact"/>
        <w:sectPr w:rsidR="00332EE6" w:rsidSect="00867C9E">
          <w:footerReference w:type="default" r:id="rId25"/>
          <w:type w:val="continuous"/>
          <w:pgSz w:w="11905" w:h="16837" w:code="9"/>
          <w:pgMar w:top="720" w:right="720" w:bottom="720" w:left="720" w:header="720" w:footer="567" w:gutter="0"/>
          <w:cols w:space="720"/>
          <w:noEndnote/>
        </w:sectPr>
      </w:pPr>
    </w:p>
    <w:p w14:paraId="731AA7E4" w14:textId="77777777" w:rsidR="00332EE6" w:rsidRPr="0069414D" w:rsidRDefault="00332EE6" w:rsidP="00332EE6">
      <w:pPr>
        <w:pStyle w:val="MAPPA-Heaingsection"/>
        <w:rPr>
          <w:color w:val="7030A0"/>
        </w:rPr>
      </w:pPr>
      <w:r w:rsidRPr="0069414D">
        <w:rPr>
          <w:color w:val="7030A0"/>
        </w:rPr>
        <w:lastRenderedPageBreak/>
        <w:t>Explanation commentary on statistical tables</w:t>
      </w:r>
    </w:p>
    <w:p w14:paraId="60A7CAA4"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015D650" w14:textId="77777777" w:rsidR="00332EE6" w:rsidRDefault="00332EE6" w:rsidP="00332EE6">
      <w:pPr>
        <w:pStyle w:val="MAPPA-Bodytext"/>
        <w:sectPr w:rsidR="00332EE6" w:rsidSect="00867C9E">
          <w:footerReference w:type="default" r:id="rId26"/>
          <w:pgSz w:w="11905" w:h="16837" w:code="9"/>
          <w:pgMar w:top="720" w:right="720" w:bottom="720" w:left="720" w:header="720" w:footer="567" w:gutter="0"/>
          <w:cols w:space="720"/>
          <w:noEndnote/>
        </w:sectPr>
      </w:pPr>
    </w:p>
    <w:p w14:paraId="00CB81A6" w14:textId="77777777" w:rsidR="00332EE6" w:rsidRDefault="00332EE6" w:rsidP="00332EE6">
      <w:pPr>
        <w:pStyle w:val="MAPPA-Bodytext"/>
      </w:pPr>
    </w:p>
    <w:p w14:paraId="1A3974D4" w14:textId="77777777" w:rsidR="00332EE6" w:rsidRDefault="00332EE6" w:rsidP="00332EE6">
      <w:pPr>
        <w:pStyle w:val="MAPPA-HeadingPara"/>
        <w:sectPr w:rsidR="00332EE6" w:rsidSect="00867C9E">
          <w:type w:val="continuous"/>
          <w:pgSz w:w="11905" w:h="16837" w:code="9"/>
          <w:pgMar w:top="720" w:right="720" w:bottom="720" w:left="720" w:header="720" w:footer="567" w:gutter="0"/>
          <w:cols w:space="720"/>
          <w:noEndnote/>
        </w:sectPr>
      </w:pPr>
    </w:p>
    <w:p w14:paraId="2943B359" w14:textId="77777777" w:rsidR="00332EE6" w:rsidRPr="0069414D" w:rsidRDefault="00332EE6" w:rsidP="00332EE6">
      <w:pPr>
        <w:pStyle w:val="MAPPA-HeadingPara"/>
        <w:rPr>
          <w:color w:val="7030A0"/>
        </w:rPr>
      </w:pPr>
      <w:r w:rsidRPr="0069414D">
        <w:rPr>
          <w:color w:val="7030A0"/>
        </w:rPr>
        <w:t>MAPPA background</w:t>
      </w:r>
    </w:p>
    <w:p w14:paraId="25442381" w14:textId="77777777" w:rsidR="00332EE6" w:rsidRPr="00717E7B" w:rsidRDefault="00332EE6" w:rsidP="00332EE6">
      <w:pPr>
        <w:pStyle w:val="MAPPA-Bodytext"/>
      </w:pPr>
      <w:r w:rsidRPr="00717E7B">
        <w:t>The totals of MAPPA-eligible offenders, broken down by category, reflect the picture on 31 March 20</w:t>
      </w:r>
      <w:r w:rsidR="001976DE">
        <w:t>2</w:t>
      </w:r>
      <w:r w:rsidR="00F762D0">
        <w:t>1</w:t>
      </w:r>
      <w:r w:rsidRPr="00717E7B">
        <w:t xml:space="preserve"> (i.e. they are a snapshot). The rest of the data covers the period 1 April 20</w:t>
      </w:r>
      <w:r w:rsidR="00F762D0">
        <w:t>20</w:t>
      </w:r>
      <w:r w:rsidRPr="00717E7B">
        <w:t xml:space="preserve"> to 31 March 20</w:t>
      </w:r>
      <w:r w:rsidR="001976DE">
        <w:t>2</w:t>
      </w:r>
      <w:r w:rsidR="00F762D0">
        <w:t>1</w:t>
      </w:r>
      <w:r w:rsidRPr="00717E7B">
        <w:t>.</w:t>
      </w:r>
    </w:p>
    <w:p w14:paraId="4212D69B" w14:textId="77777777" w:rsidR="00332EE6" w:rsidRPr="00717E7B" w:rsidRDefault="00332EE6" w:rsidP="00332EE6">
      <w:pPr>
        <w:pStyle w:val="MAPPA-Bodytext"/>
      </w:pPr>
      <w:r w:rsidRPr="0069414D">
        <w:rPr>
          <w:b/>
          <w:color w:val="7030A0"/>
        </w:rPr>
        <w:t>(a) MAPPA-eligible offenders</w:t>
      </w:r>
      <w:r w:rsidRPr="0069414D">
        <w:rPr>
          <w:color w:val="7030A0"/>
        </w:rPr>
        <w:t xml:space="preserve"> </w:t>
      </w:r>
      <w:r w:rsidRPr="00717E7B">
        <w:t xml:space="preserve">– there are a number of offenders defined in law as eligible for MAPPA management, because they have committed specified sexual and violent offences or they currently pose a risk of serious harm, although the majority are actually managed </w:t>
      </w:r>
      <w:r w:rsidR="002C0567">
        <w:t xml:space="preserve">at </w:t>
      </w:r>
      <w:r w:rsidRPr="00717E7B">
        <w:t xml:space="preserve">Level 1 </w:t>
      </w:r>
      <w:r w:rsidR="002C0567">
        <w:t>without formal</w:t>
      </w:r>
      <w:r w:rsidRPr="00717E7B">
        <w:t xml:space="preserve"> MAPP</w:t>
      </w:r>
      <w:r>
        <w:t>A</w:t>
      </w:r>
      <w:r w:rsidRPr="00717E7B">
        <w:t xml:space="preserve"> meetings.</w:t>
      </w:r>
      <w:r>
        <w:t xml:space="preserve"> These figures only include those MAPPA eligible offenders living in the community. They do not include those in prison or detained under the Mental Health Act.</w:t>
      </w:r>
    </w:p>
    <w:p w14:paraId="67BFC61F" w14:textId="77777777" w:rsidR="00332EE6" w:rsidRPr="00717E7B" w:rsidRDefault="00332EE6" w:rsidP="00332EE6">
      <w:pPr>
        <w:pStyle w:val="MAPPA-Bodytext"/>
      </w:pPr>
      <w:r w:rsidRPr="0069414D">
        <w:rPr>
          <w:b/>
          <w:color w:val="7030A0"/>
        </w:rPr>
        <w:t>(b) Registered Sexual Offenders (RSOs)</w:t>
      </w:r>
      <w:r w:rsidRPr="0069414D">
        <w:rPr>
          <w:color w:val="7030A0"/>
        </w:rPr>
        <w:t xml:space="preserve"> </w:t>
      </w:r>
      <w:r w:rsidRPr="00717E7B">
        <w:t xml:space="preserve">– those who are required to notify the police of their name, address and other personal details and to notify </w:t>
      </w:r>
      <w:r>
        <w:t xml:space="preserve">of </w:t>
      </w:r>
      <w:r w:rsidRPr="00717E7B">
        <w:t xml:space="preserve">any </w:t>
      </w:r>
      <w:r>
        <w:t>subsequent changes</w:t>
      </w:r>
      <w:r w:rsidRPr="00717E7B">
        <w:t xml:space="preserve"> (this is known as the “notification requirement.”) </w:t>
      </w:r>
      <w:r w:rsidR="00786A3A">
        <w:t xml:space="preserve">These offenders are assessed and managed by the police. They may also be managed by probation or health services if they are subject to licence or a hospital order. </w:t>
      </w:r>
      <w:r w:rsidRPr="00717E7B">
        <w:t xml:space="preserve">Failure to comply with the notification requirement is a criminal offence </w:t>
      </w:r>
      <w:r>
        <w:t>that</w:t>
      </w:r>
      <w:r w:rsidRPr="00717E7B">
        <w:t xml:space="preserve"> carries a maximum penalty of 5 years</w:t>
      </w:r>
      <w:r w:rsidR="00C449EC">
        <w:t>’</w:t>
      </w:r>
      <w:r w:rsidRPr="00717E7B">
        <w:t xml:space="preserve"> imprisonment.</w:t>
      </w:r>
    </w:p>
    <w:p w14:paraId="43207245" w14:textId="77777777" w:rsidR="00332EE6" w:rsidRPr="00717E7B" w:rsidRDefault="00332EE6" w:rsidP="00332EE6">
      <w:pPr>
        <w:pStyle w:val="MAPPA-Bodytext"/>
      </w:pPr>
      <w:r w:rsidRPr="0069414D">
        <w:rPr>
          <w:b/>
          <w:color w:val="7030A0"/>
        </w:rPr>
        <w:t>(c) Violent Offenders</w:t>
      </w:r>
      <w:r w:rsidRPr="0069414D">
        <w:rPr>
          <w:color w:val="7030A0"/>
        </w:rPr>
        <w:t xml:space="preserve"> </w:t>
      </w:r>
      <w:r w:rsidRPr="00717E7B">
        <w:t xml:space="preserve">– this category includes violent </w:t>
      </w:r>
      <w:r w:rsidR="00395ED3">
        <w:t xml:space="preserve">and terrorist </w:t>
      </w:r>
      <w:r w:rsidRPr="00717E7B">
        <w:t>offenders sentenced to imprisonment or detention for 12 months or more, or detained under a hospital order. It also includes a small number of sexual offenders who do not qualify for registration.</w:t>
      </w:r>
      <w:r w:rsidR="00786A3A">
        <w:t xml:space="preserve"> These offenders are assessed and managed by the Probation Service, Youth Offending Team or Mental Health Services. </w:t>
      </w:r>
    </w:p>
    <w:p w14:paraId="4ECCA731" w14:textId="77777777" w:rsidR="00332EE6" w:rsidRDefault="00332EE6" w:rsidP="00332EE6">
      <w:pPr>
        <w:pStyle w:val="MAPPA-Bodytext"/>
      </w:pPr>
      <w:r w:rsidRPr="0069414D">
        <w:rPr>
          <w:b/>
          <w:color w:val="7030A0"/>
        </w:rPr>
        <w:t>(d) Other Dangerous Offenders</w:t>
      </w:r>
      <w:r w:rsidRPr="0069414D">
        <w:rPr>
          <w:color w:val="7030A0"/>
        </w:rPr>
        <w:t xml:space="preserve"> </w:t>
      </w:r>
      <w:r w:rsidRPr="00717E7B">
        <w:t xml:space="preserve">– offenders who do not qualify under the other two MAPPA-eligible categories, but who currently pose a risk of serious </w:t>
      </w:r>
      <w:r w:rsidRPr="00717E7B">
        <w:t>harm which requires management via MAPP</w:t>
      </w:r>
      <w:r>
        <w:t>A</w:t>
      </w:r>
      <w:r w:rsidRPr="00717E7B">
        <w:t xml:space="preserve"> meetings.</w:t>
      </w:r>
      <w:r w:rsidR="00786A3A">
        <w:t xml:space="preserve"> These offenders are assessed and managed by whichever agency has the primary responsibility for them.</w:t>
      </w:r>
    </w:p>
    <w:p w14:paraId="1C36F2BF" w14:textId="77777777" w:rsidR="00332EE6" w:rsidRDefault="00332EE6" w:rsidP="00332EE6">
      <w:pPr>
        <w:pStyle w:val="MAPPA-Bodytext"/>
      </w:pPr>
      <w:r w:rsidRPr="0069414D">
        <w:rPr>
          <w:b/>
          <w:color w:val="7030A0"/>
        </w:rPr>
        <w:t>(e) Breach of</w:t>
      </w:r>
      <w:r w:rsidRPr="0069414D">
        <w:rPr>
          <w:b/>
          <w:color w:val="7030A0"/>
          <w:lang w:val="en-GB"/>
        </w:rPr>
        <w:t xml:space="preserve"> licence</w:t>
      </w:r>
      <w:r w:rsidRPr="0069414D">
        <w:rPr>
          <w:color w:val="7030A0"/>
        </w:rPr>
        <w:t xml:space="preserve"> </w:t>
      </w:r>
      <w:r>
        <w:t>– offenders released into the community following a period of imprisonment will be subject to a</w:t>
      </w:r>
      <w:r w:rsidRPr="0091273E">
        <w:rPr>
          <w:lang w:val="en-GB"/>
        </w:rPr>
        <w:t xml:space="preserve"> licence</w:t>
      </w:r>
      <w:r>
        <w:t xml:space="preserve"> with conditions (under probation supervision). If these conditions are not complied with, breach action will be taken and the offender may be recalled to prison.</w:t>
      </w:r>
    </w:p>
    <w:p w14:paraId="030B4B1A" w14:textId="77777777" w:rsidR="00332EE6" w:rsidRPr="00DC35A8" w:rsidRDefault="00332EE6" w:rsidP="00332EE6">
      <w:pPr>
        <w:pStyle w:val="MAPPA-Bodytext"/>
      </w:pPr>
      <w:r w:rsidRPr="0069414D">
        <w:rPr>
          <w:b/>
          <w:color w:val="7030A0"/>
        </w:rPr>
        <w:t xml:space="preserve">(f) Sexual Harm Prevention Order (SHPO) (including any additional foreign travel restriction). </w:t>
      </w:r>
      <w:r w:rsidRPr="00DC35A8">
        <w:t xml:space="preserve">Sexual Harm Prevention Orders (SHPOs) and interim SHPOs </w:t>
      </w:r>
      <w:r w:rsidRPr="009C3B63">
        <w:t>replaced Sexual Offence Prevention Orders</w:t>
      </w:r>
      <w:r>
        <w:t>. They</w:t>
      </w:r>
      <w:r w:rsidRPr="009C3B63">
        <w:t xml:space="preserve"> </w:t>
      </w:r>
      <w:r w:rsidRPr="00DC35A8">
        <w:t xml:space="preserve">are intended to protect the public from offenders convicted of a sexual or violent offence who pose a risk of sexual harm to the public by placing restrictions on their behaviour. </w:t>
      </w:r>
      <w:r w:rsidR="00E758B3">
        <w:t>They</w:t>
      </w:r>
      <w:r w:rsidRPr="00DC35A8">
        <w:t xml:space="preserve"> require the offender to notify their details to the police (as set out in Part 2 of the 2003 Act) for the duration of the order.</w:t>
      </w:r>
    </w:p>
    <w:p w14:paraId="634CE362" w14:textId="77777777" w:rsidR="00332EE6" w:rsidRPr="00DC35A8" w:rsidRDefault="00332EE6" w:rsidP="00332EE6">
      <w:pPr>
        <w:pStyle w:val="MAPPA-Bodytext"/>
      </w:pPr>
      <w:r w:rsidRPr="00DC35A8">
        <w:t>The court must be satisfied that an order is necessary to protect the public (or any particular members of the public) in the UK, or children or vulnerable adults (or any particular children or vulnerable adults) abroad, from sexual harm from the offender. In the case of an order made on a free standing application by a chief officer or the National Crime Agency (NCA), the chief officer/NCA must be able to show that the offender has acted in such a way since their conviction as to make the order necessary.</w:t>
      </w:r>
    </w:p>
    <w:p w14:paraId="17BC16A0" w14:textId="77777777" w:rsidR="00332EE6" w:rsidRDefault="00332EE6" w:rsidP="00332EE6">
      <w:pPr>
        <w:pStyle w:val="MAPPA-Bodytext"/>
      </w:pPr>
      <w:r w:rsidRPr="00DC35A8">
        <w:t>The minimum duration for a full order is five years. The lower age limit is 10, which is the age of criminal responsibility, but where the defendant is under the age of 18 an application for an order should only be considered exceptionally.</w:t>
      </w:r>
    </w:p>
    <w:p w14:paraId="25BCB172" w14:textId="77777777" w:rsidR="00332EE6" w:rsidRDefault="00332EE6" w:rsidP="00332EE6">
      <w:pPr>
        <w:pStyle w:val="MAPPA-Bodytext"/>
      </w:pPr>
      <w:r w:rsidRPr="0069414D">
        <w:rPr>
          <w:b/>
          <w:color w:val="7030A0"/>
        </w:rPr>
        <w:t>(g) Notification Order</w:t>
      </w:r>
      <w:r w:rsidRPr="0069414D">
        <w:rPr>
          <w:color w:val="7030A0"/>
        </w:rPr>
        <w:t xml:space="preserve"> </w:t>
      </w:r>
      <w:r>
        <w:t xml:space="preserve">– this requires sexual offenders who have been convicted overseas to register with the </w:t>
      </w:r>
      <w:r>
        <w:lastRenderedPageBreak/>
        <w:t xml:space="preserve">police, in order to protect the public in the </w:t>
      </w:r>
      <w:smartTag w:uri="urn:schemas-microsoft-com:office:smarttags" w:element="place">
        <w:r>
          <w:t>UK</w:t>
        </w:r>
      </w:smartTag>
      <w:r>
        <w:t xml:space="preserve"> from the risks that they pose. The police may apply to the court for a notification order in relation to offenders who are already in the </w:t>
      </w:r>
      <w:smartTag w:uri="urn:schemas-microsoft-com:office:smarttags" w:element="place">
        <w:r>
          <w:t>UK</w:t>
        </w:r>
      </w:smartTag>
      <w:r>
        <w:t xml:space="preserve"> or are intending to come to the </w:t>
      </w:r>
      <w:smartTag w:uri="urn:schemas-microsoft-com:office:smarttags" w:element="place">
        <w:r>
          <w:t>UK</w:t>
        </w:r>
      </w:smartTag>
      <w:r>
        <w:t>.</w:t>
      </w:r>
    </w:p>
    <w:p w14:paraId="52F03A87" w14:textId="77777777" w:rsidR="00332EE6" w:rsidRPr="0069414D" w:rsidRDefault="00332EE6" w:rsidP="00332EE6">
      <w:pPr>
        <w:autoSpaceDE w:val="0"/>
        <w:autoSpaceDN w:val="0"/>
        <w:adjustRightInd w:val="0"/>
        <w:rPr>
          <w:rFonts w:ascii="Arial" w:hAnsi="Arial" w:cs="Arial"/>
          <w:b/>
          <w:bCs/>
          <w:color w:val="7030A0"/>
          <w:sz w:val="20"/>
          <w:szCs w:val="20"/>
        </w:rPr>
      </w:pPr>
      <w:r w:rsidRPr="0069414D">
        <w:rPr>
          <w:rFonts w:ascii="Arial" w:hAnsi="Arial" w:cs="Arial"/>
          <w:b/>
          <w:color w:val="7030A0"/>
          <w:sz w:val="20"/>
          <w:szCs w:val="20"/>
        </w:rPr>
        <w:t xml:space="preserve">(h) Sexual Risk Order (including any additional foreign travel restriction)  </w:t>
      </w:r>
    </w:p>
    <w:p w14:paraId="65023E42" w14:textId="77777777" w:rsidR="00332EE6" w:rsidRDefault="00332EE6" w:rsidP="00332EE6">
      <w:pPr>
        <w:pStyle w:val="Default"/>
        <w:rPr>
          <w:sz w:val="20"/>
          <w:szCs w:val="20"/>
        </w:rPr>
      </w:pPr>
      <w:r w:rsidRPr="00DC35A8">
        <w:rPr>
          <w:sz w:val="20"/>
          <w:szCs w:val="20"/>
        </w:rPr>
        <w:t xml:space="preserve">The Sexual Risk Order (SRO) replaced the Risk of Sexual Harm Order (RoSHO) and may be made in relation to a person without a conviction for a sexual or violent offence (or any other offence), but who poses a risk of sexual harm. </w:t>
      </w:r>
    </w:p>
    <w:p w14:paraId="221B556D" w14:textId="77777777" w:rsidR="00332EE6" w:rsidRPr="00DC35A8" w:rsidRDefault="00332EE6" w:rsidP="00332EE6">
      <w:pPr>
        <w:pStyle w:val="Default"/>
        <w:rPr>
          <w:sz w:val="20"/>
          <w:szCs w:val="20"/>
        </w:rPr>
      </w:pPr>
    </w:p>
    <w:p w14:paraId="0DA8FC36" w14:textId="77777777" w:rsidR="00332EE6" w:rsidRPr="009C3B63" w:rsidRDefault="00332EE6" w:rsidP="00332EE6">
      <w:pPr>
        <w:pStyle w:val="Default"/>
        <w:rPr>
          <w:sz w:val="20"/>
          <w:szCs w:val="20"/>
        </w:rPr>
      </w:pPr>
      <w:r w:rsidRPr="009C3B63">
        <w:rPr>
          <w:sz w:val="20"/>
          <w:szCs w:val="20"/>
        </w:rPr>
        <w:t xml:space="preserve">The SRO may be made at the magistrates’ court on application by the police or NCA where an individual has </w:t>
      </w:r>
      <w:r w:rsidR="005E20D8">
        <w:rPr>
          <w:sz w:val="20"/>
          <w:szCs w:val="20"/>
        </w:rPr>
        <w:t xml:space="preserve">committed </w:t>
      </w:r>
      <w:r w:rsidRPr="009C3B63">
        <w:rPr>
          <w:sz w:val="20"/>
          <w:szCs w:val="20"/>
        </w:rPr>
        <w:t>an act of a sexual nature and the court is satisfied that the person poses a risk of harm to the public in the UK or children or vulnerable adults overseas.</w:t>
      </w:r>
    </w:p>
    <w:p w14:paraId="26E04D47" w14:textId="77777777" w:rsidR="00332EE6" w:rsidRPr="00DC35A8" w:rsidRDefault="00332EE6" w:rsidP="00332EE6">
      <w:pPr>
        <w:pStyle w:val="Default"/>
        <w:rPr>
          <w:sz w:val="20"/>
          <w:szCs w:val="20"/>
        </w:rPr>
      </w:pPr>
    </w:p>
    <w:p w14:paraId="06017656" w14:textId="77777777" w:rsidR="00332EE6" w:rsidRPr="00DC35A8" w:rsidRDefault="00332EE6" w:rsidP="00332EE6">
      <w:pPr>
        <w:pStyle w:val="Default"/>
        <w:rPr>
          <w:sz w:val="20"/>
          <w:szCs w:val="20"/>
        </w:rPr>
      </w:pPr>
      <w:r w:rsidRPr="00DC35A8">
        <w:rPr>
          <w:sz w:val="20"/>
          <w:szCs w:val="20"/>
        </w:rPr>
        <w:t>A SRO may prohibit the person from doing anything described in it</w:t>
      </w:r>
      <w:r>
        <w:rPr>
          <w:sz w:val="20"/>
          <w:szCs w:val="20"/>
        </w:rPr>
        <w:t>,</w:t>
      </w:r>
      <w:r w:rsidRPr="00DC35A8">
        <w:rPr>
          <w:sz w:val="20"/>
          <w:szCs w:val="20"/>
        </w:rPr>
        <w:t xml:space="preserve"> </w:t>
      </w:r>
      <w:r w:rsidRPr="009C3B63">
        <w:rPr>
          <w:sz w:val="20"/>
          <w:szCs w:val="20"/>
        </w:rPr>
        <w:t>including travel overseas</w:t>
      </w:r>
      <w:r w:rsidRPr="00DC35A8">
        <w:rPr>
          <w:sz w:val="20"/>
          <w:szCs w:val="20"/>
        </w:rPr>
        <w:t xml:space="preserve">. Any prohibition must be necessary to protect the public in the UK from sexual harm or, in relation to foreign travel, protecting children or vulnerable adults from sexual harm. </w:t>
      </w:r>
    </w:p>
    <w:p w14:paraId="0125770B" w14:textId="77777777" w:rsidR="00332EE6" w:rsidRPr="00DC35A8" w:rsidRDefault="00332EE6" w:rsidP="00332EE6">
      <w:pPr>
        <w:pStyle w:val="Default"/>
        <w:rPr>
          <w:sz w:val="20"/>
          <w:szCs w:val="20"/>
        </w:rPr>
      </w:pPr>
    </w:p>
    <w:p w14:paraId="1554A482" w14:textId="77777777" w:rsidR="00332EE6" w:rsidRPr="00DC35A8" w:rsidRDefault="00332EE6" w:rsidP="00332EE6">
      <w:pPr>
        <w:pStyle w:val="Default"/>
        <w:spacing w:after="125"/>
        <w:rPr>
          <w:sz w:val="20"/>
          <w:szCs w:val="20"/>
        </w:rPr>
      </w:pPr>
      <w:r w:rsidRPr="00DC35A8">
        <w:rPr>
          <w:sz w:val="20"/>
          <w:szCs w:val="20"/>
        </w:rPr>
        <w:t>An individual subject to an SRO is required to notify the police of their name and home address within three days of the order being made and also to notify any changes to this information within three days.</w:t>
      </w:r>
    </w:p>
    <w:p w14:paraId="6B37DBF4" w14:textId="77777777" w:rsidR="00332EE6" w:rsidRPr="00DC35A8" w:rsidRDefault="00332EE6" w:rsidP="00332EE6">
      <w:pPr>
        <w:pStyle w:val="Default"/>
        <w:rPr>
          <w:sz w:val="20"/>
          <w:szCs w:val="20"/>
        </w:rPr>
      </w:pPr>
      <w:r w:rsidRPr="00DC35A8">
        <w:rPr>
          <w:sz w:val="20"/>
          <w:szCs w:val="20"/>
        </w:rPr>
        <w:t xml:space="preserve">A SRO can last for a minimum of two years and has no maximum duration, with the exception of any foreign travel restrictions which, if applicable, last for a maximum of five years (but may be renewed). </w:t>
      </w:r>
    </w:p>
    <w:p w14:paraId="58FE04FB" w14:textId="77777777" w:rsidR="00332EE6" w:rsidRDefault="00332EE6" w:rsidP="00332EE6">
      <w:pPr>
        <w:pStyle w:val="Default"/>
        <w:rPr>
          <w:sz w:val="20"/>
          <w:szCs w:val="20"/>
        </w:rPr>
      </w:pPr>
    </w:p>
    <w:p w14:paraId="2411F19E" w14:textId="77777777" w:rsidR="00DC3228" w:rsidRDefault="00DC3228" w:rsidP="00332EE6">
      <w:pPr>
        <w:pStyle w:val="Default"/>
        <w:rPr>
          <w:sz w:val="20"/>
          <w:szCs w:val="20"/>
        </w:rPr>
      </w:pPr>
    </w:p>
    <w:p w14:paraId="5F6F0B78" w14:textId="77777777" w:rsidR="00DC3228" w:rsidRDefault="00DC3228" w:rsidP="00332EE6">
      <w:pPr>
        <w:pStyle w:val="Default"/>
        <w:rPr>
          <w:sz w:val="20"/>
          <w:szCs w:val="20"/>
        </w:rPr>
      </w:pPr>
    </w:p>
    <w:p w14:paraId="4217E8F7" w14:textId="77777777" w:rsidR="00DC3228" w:rsidRDefault="00DC3228" w:rsidP="00332EE6">
      <w:pPr>
        <w:pStyle w:val="Default"/>
        <w:rPr>
          <w:sz w:val="20"/>
          <w:szCs w:val="20"/>
        </w:rPr>
      </w:pPr>
    </w:p>
    <w:p w14:paraId="2A511490" w14:textId="77777777" w:rsidR="00DC3228" w:rsidRDefault="00DC3228" w:rsidP="00332EE6">
      <w:pPr>
        <w:pStyle w:val="Default"/>
        <w:rPr>
          <w:sz w:val="20"/>
          <w:szCs w:val="20"/>
        </w:rPr>
      </w:pPr>
    </w:p>
    <w:p w14:paraId="038EA112" w14:textId="77777777" w:rsidR="00DC3228" w:rsidRDefault="00DC3228" w:rsidP="00332EE6">
      <w:pPr>
        <w:pStyle w:val="Default"/>
        <w:rPr>
          <w:sz w:val="20"/>
          <w:szCs w:val="20"/>
        </w:rPr>
      </w:pPr>
    </w:p>
    <w:p w14:paraId="11C5F154" w14:textId="77777777" w:rsidR="00DC3228" w:rsidRDefault="00DC3228" w:rsidP="00332EE6">
      <w:pPr>
        <w:pStyle w:val="Default"/>
        <w:rPr>
          <w:sz w:val="20"/>
          <w:szCs w:val="20"/>
        </w:rPr>
      </w:pPr>
    </w:p>
    <w:p w14:paraId="71C7E96C" w14:textId="77777777" w:rsidR="00DC3228" w:rsidRDefault="00DC3228" w:rsidP="00332EE6">
      <w:pPr>
        <w:pStyle w:val="Default"/>
        <w:rPr>
          <w:sz w:val="20"/>
          <w:szCs w:val="20"/>
        </w:rPr>
      </w:pPr>
    </w:p>
    <w:p w14:paraId="1D52C022" w14:textId="77777777" w:rsidR="00DC3228" w:rsidRDefault="00DC3228" w:rsidP="00332EE6">
      <w:pPr>
        <w:pStyle w:val="Default"/>
        <w:rPr>
          <w:sz w:val="20"/>
          <w:szCs w:val="20"/>
        </w:rPr>
      </w:pPr>
    </w:p>
    <w:p w14:paraId="0AA1A169" w14:textId="77777777" w:rsidR="00DC3228" w:rsidRDefault="00DC3228" w:rsidP="00332EE6">
      <w:pPr>
        <w:pStyle w:val="Default"/>
        <w:rPr>
          <w:sz w:val="20"/>
          <w:szCs w:val="20"/>
        </w:rPr>
      </w:pPr>
    </w:p>
    <w:p w14:paraId="75B9F070" w14:textId="77777777" w:rsidR="00DC3228" w:rsidRDefault="00DC3228" w:rsidP="00332EE6">
      <w:pPr>
        <w:pStyle w:val="Default"/>
        <w:rPr>
          <w:sz w:val="20"/>
          <w:szCs w:val="20"/>
        </w:rPr>
      </w:pPr>
    </w:p>
    <w:p w14:paraId="7949FAD6" w14:textId="77777777" w:rsidR="00DC3228" w:rsidRDefault="00DC3228" w:rsidP="00332EE6">
      <w:pPr>
        <w:pStyle w:val="Default"/>
        <w:rPr>
          <w:sz w:val="20"/>
          <w:szCs w:val="20"/>
        </w:rPr>
      </w:pPr>
    </w:p>
    <w:p w14:paraId="2628D137" w14:textId="77777777" w:rsidR="00DC3228" w:rsidRDefault="00DC3228" w:rsidP="00332EE6">
      <w:pPr>
        <w:pStyle w:val="Default"/>
        <w:rPr>
          <w:sz w:val="20"/>
          <w:szCs w:val="20"/>
        </w:rPr>
      </w:pPr>
    </w:p>
    <w:p w14:paraId="06EEECFF" w14:textId="77777777" w:rsidR="00DC3228" w:rsidRDefault="00DC3228" w:rsidP="00332EE6">
      <w:pPr>
        <w:pStyle w:val="Default"/>
        <w:rPr>
          <w:sz w:val="20"/>
          <w:szCs w:val="20"/>
        </w:rPr>
      </w:pPr>
    </w:p>
    <w:p w14:paraId="1706A717" w14:textId="77777777" w:rsidR="00DC3228" w:rsidRDefault="00DC3228" w:rsidP="00332EE6">
      <w:pPr>
        <w:pStyle w:val="Default"/>
        <w:rPr>
          <w:sz w:val="20"/>
          <w:szCs w:val="20"/>
        </w:rPr>
      </w:pPr>
    </w:p>
    <w:p w14:paraId="7544D686" w14:textId="77777777" w:rsidR="00DC3228" w:rsidRDefault="00DC3228" w:rsidP="00332EE6">
      <w:pPr>
        <w:pStyle w:val="Default"/>
        <w:rPr>
          <w:sz w:val="20"/>
          <w:szCs w:val="20"/>
        </w:rPr>
      </w:pPr>
    </w:p>
    <w:p w14:paraId="6CE6C338" w14:textId="77777777" w:rsidR="00DC3228" w:rsidRDefault="00DC3228" w:rsidP="00332EE6">
      <w:pPr>
        <w:pStyle w:val="Default"/>
        <w:rPr>
          <w:sz w:val="20"/>
          <w:szCs w:val="20"/>
        </w:rPr>
      </w:pPr>
    </w:p>
    <w:p w14:paraId="6BDC34F3" w14:textId="77777777" w:rsidR="00DC3228" w:rsidRDefault="00DC3228" w:rsidP="00332EE6">
      <w:pPr>
        <w:pStyle w:val="Default"/>
        <w:rPr>
          <w:sz w:val="20"/>
          <w:szCs w:val="20"/>
        </w:rPr>
      </w:pPr>
    </w:p>
    <w:p w14:paraId="79E846FC" w14:textId="77777777" w:rsidR="00DC3228" w:rsidRDefault="00DC3228" w:rsidP="00332EE6">
      <w:pPr>
        <w:pStyle w:val="Default"/>
        <w:rPr>
          <w:sz w:val="20"/>
          <w:szCs w:val="20"/>
        </w:rPr>
      </w:pPr>
    </w:p>
    <w:p w14:paraId="5EF8235D" w14:textId="77777777" w:rsidR="00DC3228" w:rsidRDefault="00DC3228" w:rsidP="00332EE6">
      <w:pPr>
        <w:pStyle w:val="Default"/>
        <w:rPr>
          <w:sz w:val="20"/>
          <w:szCs w:val="20"/>
        </w:rPr>
      </w:pPr>
    </w:p>
    <w:p w14:paraId="70717D53" w14:textId="77777777" w:rsidR="00DC3228" w:rsidRDefault="00DC3228" w:rsidP="00332EE6">
      <w:pPr>
        <w:pStyle w:val="Default"/>
        <w:rPr>
          <w:sz w:val="20"/>
          <w:szCs w:val="20"/>
        </w:rPr>
      </w:pPr>
    </w:p>
    <w:p w14:paraId="4CE1D17D" w14:textId="77777777" w:rsidR="00DC3228" w:rsidRDefault="00DC3228" w:rsidP="00332EE6">
      <w:pPr>
        <w:pStyle w:val="Default"/>
        <w:rPr>
          <w:sz w:val="20"/>
          <w:szCs w:val="20"/>
        </w:rPr>
      </w:pPr>
    </w:p>
    <w:p w14:paraId="0E2E7776" w14:textId="77777777" w:rsidR="00DC3228" w:rsidRDefault="00DC3228" w:rsidP="00332EE6">
      <w:pPr>
        <w:pStyle w:val="Default"/>
        <w:rPr>
          <w:sz w:val="20"/>
          <w:szCs w:val="20"/>
        </w:rPr>
      </w:pPr>
    </w:p>
    <w:p w14:paraId="27A9B58C" w14:textId="77777777" w:rsidR="00DC3228" w:rsidRDefault="00DC3228" w:rsidP="00332EE6">
      <w:pPr>
        <w:pStyle w:val="Default"/>
        <w:rPr>
          <w:sz w:val="20"/>
          <w:szCs w:val="20"/>
        </w:rPr>
      </w:pPr>
    </w:p>
    <w:p w14:paraId="34A680DF" w14:textId="77777777" w:rsidR="00DC3228" w:rsidRDefault="00DC3228" w:rsidP="00332EE6">
      <w:pPr>
        <w:pStyle w:val="Default"/>
        <w:rPr>
          <w:sz w:val="20"/>
          <w:szCs w:val="20"/>
        </w:rPr>
      </w:pPr>
    </w:p>
    <w:p w14:paraId="72AAA9A6" w14:textId="77777777" w:rsidR="00DC3228" w:rsidRDefault="00DC3228" w:rsidP="00332EE6">
      <w:pPr>
        <w:pStyle w:val="Default"/>
        <w:rPr>
          <w:sz w:val="20"/>
          <w:szCs w:val="20"/>
        </w:rPr>
      </w:pPr>
    </w:p>
    <w:p w14:paraId="183B3FD1" w14:textId="77777777" w:rsidR="00DC3228" w:rsidRDefault="00DC3228" w:rsidP="00332EE6">
      <w:pPr>
        <w:pStyle w:val="Default"/>
        <w:rPr>
          <w:sz w:val="20"/>
          <w:szCs w:val="20"/>
        </w:rPr>
      </w:pPr>
    </w:p>
    <w:p w14:paraId="340BE7CE" w14:textId="77777777" w:rsidR="00DC3228" w:rsidRDefault="00DC3228" w:rsidP="00332EE6">
      <w:pPr>
        <w:pStyle w:val="Default"/>
        <w:rPr>
          <w:sz w:val="20"/>
          <w:szCs w:val="20"/>
        </w:rPr>
      </w:pPr>
    </w:p>
    <w:p w14:paraId="47C88A20" w14:textId="77777777" w:rsidR="00DC3228" w:rsidRDefault="00DC3228" w:rsidP="00332EE6">
      <w:pPr>
        <w:pStyle w:val="Default"/>
        <w:rPr>
          <w:sz w:val="20"/>
          <w:szCs w:val="20"/>
        </w:rPr>
      </w:pPr>
    </w:p>
    <w:p w14:paraId="24DDA92F" w14:textId="77777777" w:rsidR="00332EE6" w:rsidRPr="00DC35A8" w:rsidRDefault="00332EE6" w:rsidP="00332EE6">
      <w:pPr>
        <w:pStyle w:val="Default"/>
        <w:rPr>
          <w:sz w:val="20"/>
          <w:szCs w:val="20"/>
        </w:rPr>
      </w:pPr>
      <w:r w:rsidRPr="00DC35A8">
        <w:rPr>
          <w:sz w:val="20"/>
          <w:szCs w:val="20"/>
        </w:rPr>
        <w:t>The criminal standard of proof continues to apply</w:t>
      </w:r>
      <w:r>
        <w:rPr>
          <w:sz w:val="20"/>
          <w:szCs w:val="20"/>
        </w:rPr>
        <w:t>.</w:t>
      </w:r>
      <w:r w:rsidRPr="00DC35A8">
        <w:rPr>
          <w:sz w:val="20"/>
          <w:szCs w:val="20"/>
        </w:rPr>
        <w:t xml:space="preserve"> </w:t>
      </w:r>
      <w:r>
        <w:rPr>
          <w:sz w:val="20"/>
          <w:szCs w:val="20"/>
        </w:rPr>
        <w:t>T</w:t>
      </w:r>
      <w:r w:rsidRPr="00DC35A8">
        <w:rPr>
          <w:sz w:val="20"/>
          <w:szCs w:val="20"/>
        </w:rPr>
        <w:t>he person concerned is able to appeal against the making of the order and the police or the person concerned are able to apply for the order to be varied, renewed or discharged.</w:t>
      </w:r>
    </w:p>
    <w:p w14:paraId="66B048F0" w14:textId="77777777" w:rsidR="00332EE6" w:rsidRDefault="00332EE6" w:rsidP="00332EE6">
      <w:pPr>
        <w:pStyle w:val="Default"/>
        <w:rPr>
          <w:sz w:val="20"/>
          <w:szCs w:val="20"/>
          <w:highlight w:val="yellow"/>
        </w:rPr>
      </w:pPr>
    </w:p>
    <w:p w14:paraId="13EB095D" w14:textId="77777777" w:rsidR="00332EE6" w:rsidRPr="00DC35A8" w:rsidRDefault="00332EE6" w:rsidP="00332EE6">
      <w:pPr>
        <w:pStyle w:val="Default"/>
        <w:rPr>
          <w:sz w:val="20"/>
          <w:szCs w:val="20"/>
        </w:rPr>
      </w:pPr>
      <w:r w:rsidRPr="00DC35A8">
        <w:rPr>
          <w:sz w:val="20"/>
          <w:szCs w:val="20"/>
        </w:rPr>
        <w:t xml:space="preserve">A breach of a SRO is a criminal offence punishable by a maximum of five years’ imprisonment. Where an individual breaches their SRO, they will become subject to full notification requirements.  </w:t>
      </w:r>
    </w:p>
    <w:p w14:paraId="3AD2F706" w14:textId="77777777" w:rsidR="00332EE6" w:rsidRPr="00DC35A8" w:rsidRDefault="00332EE6" w:rsidP="00332EE6">
      <w:pPr>
        <w:pStyle w:val="Default"/>
        <w:rPr>
          <w:sz w:val="20"/>
          <w:szCs w:val="20"/>
        </w:rPr>
      </w:pPr>
    </w:p>
    <w:p w14:paraId="4A5B6A89" w14:textId="77777777" w:rsidR="00332EE6" w:rsidRPr="00DC35A8" w:rsidRDefault="00332EE6" w:rsidP="00332EE6">
      <w:pPr>
        <w:rPr>
          <w:rFonts w:ascii="Arial" w:hAnsi="Arial" w:cs="Arial"/>
          <w:sz w:val="20"/>
          <w:szCs w:val="20"/>
        </w:rPr>
      </w:pPr>
      <w:r>
        <w:rPr>
          <w:rFonts w:ascii="Arial" w:hAnsi="Arial" w:cs="Arial"/>
          <w:sz w:val="20"/>
          <w:szCs w:val="20"/>
        </w:rPr>
        <w:t>Individuals</w:t>
      </w:r>
      <w:r w:rsidRPr="00DC35A8">
        <w:rPr>
          <w:rFonts w:ascii="Arial" w:hAnsi="Arial" w:cs="Arial"/>
          <w:sz w:val="20"/>
          <w:szCs w:val="20"/>
        </w:rPr>
        <w:t xml:space="preserve"> made subject of a SRO are now recorded on VISOR as a Potentially Dangerous Person (PDP).</w:t>
      </w:r>
    </w:p>
    <w:p w14:paraId="3012DCF1" w14:textId="77777777" w:rsidR="00332EE6" w:rsidRPr="00DC35A8" w:rsidRDefault="00332EE6" w:rsidP="00332EE6">
      <w:pPr>
        <w:autoSpaceDE w:val="0"/>
        <w:autoSpaceDN w:val="0"/>
        <w:adjustRightInd w:val="0"/>
        <w:rPr>
          <w:rFonts w:ascii="Arial" w:hAnsi="Arial" w:cs="Arial"/>
          <w:b/>
          <w:bCs/>
          <w:color w:val="FF0000"/>
          <w:sz w:val="20"/>
          <w:szCs w:val="20"/>
        </w:rPr>
      </w:pPr>
    </w:p>
    <w:p w14:paraId="5EB2D4DA" w14:textId="77777777" w:rsidR="00332EE6" w:rsidRPr="0069414D" w:rsidRDefault="00332EE6" w:rsidP="00332EE6">
      <w:pPr>
        <w:autoSpaceDE w:val="0"/>
        <w:autoSpaceDN w:val="0"/>
        <w:adjustRightInd w:val="0"/>
        <w:rPr>
          <w:rFonts w:ascii="Arial" w:hAnsi="Arial" w:cs="Arial"/>
          <w:b/>
          <w:color w:val="7030A0"/>
          <w:sz w:val="20"/>
          <w:szCs w:val="20"/>
        </w:rPr>
      </w:pPr>
      <w:r w:rsidRPr="0069414D">
        <w:rPr>
          <w:rFonts w:ascii="Arial" w:hAnsi="Arial" w:cs="Arial"/>
          <w:b/>
          <w:color w:val="7030A0"/>
          <w:sz w:val="20"/>
          <w:szCs w:val="20"/>
        </w:rPr>
        <w:t xml:space="preserve">(i) Lifetime notification requirements revoked on application </w:t>
      </w:r>
    </w:p>
    <w:p w14:paraId="0D9C9E18" w14:textId="77777777" w:rsidR="00332EE6" w:rsidRPr="00A92CE4" w:rsidRDefault="00332EE6" w:rsidP="00332EE6">
      <w:pPr>
        <w:autoSpaceDE w:val="0"/>
        <w:autoSpaceDN w:val="0"/>
        <w:adjustRightInd w:val="0"/>
        <w:rPr>
          <w:rFonts w:ascii="Arial" w:hAnsi="Arial" w:cs="Arial"/>
          <w:color w:val="000000"/>
          <w:sz w:val="20"/>
          <w:szCs w:val="20"/>
        </w:rPr>
      </w:pPr>
      <w:r w:rsidRPr="00A92CE4">
        <w:rPr>
          <w:rFonts w:ascii="Arial" w:hAnsi="Arial" w:cs="Arial"/>
          <w:color w:val="000000"/>
          <w:sz w:val="20"/>
          <w:szCs w:val="20"/>
        </w:rPr>
        <w:t xml:space="preserve">A legal challenge in 2010 and a corresponding legislative response means there is now a mechanism in place that allows qualifying sex offenders to apply for a review of their notification requirements. </w:t>
      </w:r>
      <w:r w:rsidR="0044659C">
        <w:rPr>
          <w:rFonts w:ascii="Arial" w:hAnsi="Arial" w:cs="Arial"/>
          <w:color w:val="000000"/>
          <w:sz w:val="20"/>
          <w:szCs w:val="20"/>
        </w:rPr>
        <w:t xml:space="preserve">Persons </w:t>
      </w:r>
      <w:r w:rsidR="00F53D72">
        <w:rPr>
          <w:rFonts w:ascii="Arial" w:hAnsi="Arial" w:cs="Arial"/>
          <w:color w:val="000000"/>
          <w:sz w:val="20"/>
          <w:szCs w:val="20"/>
        </w:rPr>
        <w:t>do</w:t>
      </w:r>
      <w:r w:rsidR="0044659C">
        <w:rPr>
          <w:rFonts w:ascii="Arial" w:hAnsi="Arial" w:cs="Arial"/>
          <w:color w:val="000000"/>
          <w:sz w:val="20"/>
          <w:szCs w:val="20"/>
        </w:rPr>
        <w:t xml:space="preserve"> not come </w:t>
      </w:r>
      <w:r w:rsidR="00F53D72">
        <w:rPr>
          <w:rFonts w:ascii="Arial" w:hAnsi="Arial" w:cs="Arial"/>
          <w:color w:val="000000"/>
          <w:sz w:val="20"/>
          <w:szCs w:val="20"/>
        </w:rPr>
        <w:t xml:space="preserve">off the register automatically. Qualifying offenders may submit an application to the police to review their indefinite notification requirements. </w:t>
      </w:r>
      <w:r w:rsidR="0044659C">
        <w:rPr>
          <w:rFonts w:ascii="Arial" w:hAnsi="Arial" w:cs="Arial"/>
          <w:color w:val="000000"/>
          <w:sz w:val="20"/>
          <w:szCs w:val="20"/>
        </w:rPr>
        <w:t xml:space="preserve">The police review the application and decide whether to revoke </w:t>
      </w:r>
      <w:r w:rsidR="00F53D72">
        <w:rPr>
          <w:rFonts w:ascii="Arial" w:hAnsi="Arial" w:cs="Arial"/>
          <w:color w:val="000000"/>
          <w:sz w:val="20"/>
          <w:szCs w:val="20"/>
        </w:rPr>
        <w:t xml:space="preserve">the </w:t>
      </w:r>
      <w:r w:rsidR="0044659C">
        <w:rPr>
          <w:rFonts w:ascii="Arial" w:hAnsi="Arial" w:cs="Arial"/>
          <w:color w:val="000000"/>
          <w:sz w:val="20"/>
          <w:szCs w:val="20"/>
        </w:rPr>
        <w:t>notification requirements.</w:t>
      </w:r>
      <w:r w:rsidR="00F53D72">
        <w:rPr>
          <w:rFonts w:ascii="Arial" w:hAnsi="Arial" w:cs="Arial"/>
          <w:color w:val="000000"/>
          <w:sz w:val="20"/>
          <w:szCs w:val="20"/>
        </w:rPr>
        <w:t xml:space="preserve"> </w:t>
      </w:r>
      <w:r w:rsidR="001435D5">
        <w:rPr>
          <w:rFonts w:ascii="Arial" w:hAnsi="Arial" w:cs="Arial"/>
          <w:color w:val="000000"/>
          <w:sz w:val="20"/>
          <w:szCs w:val="20"/>
        </w:rPr>
        <w:t xml:space="preserve">This decision is made at the rank of Superintendent. </w:t>
      </w:r>
      <w:r w:rsidR="00F53D72" w:rsidRPr="00AC6E16">
        <w:rPr>
          <w:rFonts w:ascii="Arial" w:hAnsi="Arial" w:cs="Arial"/>
          <w:sz w:val="20"/>
          <w:szCs w:val="20"/>
        </w:rPr>
        <w:t>Those who continue to pose a significant risk will remain on the register for life, if necessary.</w:t>
      </w:r>
    </w:p>
    <w:p w14:paraId="4C69AB9A" w14:textId="77777777" w:rsidR="00332EE6" w:rsidRPr="00DC35A8" w:rsidRDefault="00332EE6" w:rsidP="00332EE6">
      <w:pPr>
        <w:autoSpaceDE w:val="0"/>
        <w:autoSpaceDN w:val="0"/>
        <w:adjustRightInd w:val="0"/>
        <w:rPr>
          <w:rFonts w:ascii="Arial" w:hAnsi="Arial" w:cs="Arial"/>
          <w:color w:val="000000"/>
          <w:sz w:val="20"/>
          <w:szCs w:val="20"/>
        </w:rPr>
      </w:pPr>
    </w:p>
    <w:p w14:paraId="0CE90538" w14:textId="77777777" w:rsidR="00332EE6" w:rsidRPr="00AC6E16" w:rsidRDefault="00332EE6" w:rsidP="00332EE6">
      <w:pPr>
        <w:autoSpaceDE w:val="0"/>
        <w:autoSpaceDN w:val="0"/>
        <w:adjustRightInd w:val="0"/>
        <w:rPr>
          <w:rFonts w:ascii="Arial" w:hAnsi="Arial" w:cs="Arial"/>
          <w:color w:val="000000"/>
          <w:sz w:val="20"/>
          <w:szCs w:val="20"/>
        </w:rPr>
      </w:pPr>
      <w:r w:rsidRPr="00DC35A8">
        <w:rPr>
          <w:rFonts w:ascii="Arial" w:hAnsi="Arial" w:cs="Arial"/>
          <w:color w:val="000000"/>
          <w:sz w:val="20"/>
          <w:szCs w:val="20"/>
        </w:rPr>
        <w:t>Individuals will only become eligible to seek a review once they have been subject to indefinite notification requirements for a period of at least 15 years for adults and 8 years for juveniles. This applie</w:t>
      </w:r>
      <w:r w:rsidR="00815132">
        <w:rPr>
          <w:rFonts w:ascii="Arial" w:hAnsi="Arial" w:cs="Arial"/>
          <w:color w:val="000000"/>
          <w:sz w:val="20"/>
          <w:szCs w:val="20"/>
        </w:rPr>
        <w:t>d</w:t>
      </w:r>
      <w:r w:rsidRPr="00DC35A8">
        <w:rPr>
          <w:rFonts w:ascii="Arial" w:hAnsi="Arial" w:cs="Arial"/>
          <w:color w:val="000000"/>
          <w:sz w:val="20"/>
          <w:szCs w:val="20"/>
        </w:rPr>
        <w:t xml:space="preserve"> from 1 September 2012 for adult offenders</w:t>
      </w:r>
      <w:r>
        <w:rPr>
          <w:rFonts w:ascii="Arial" w:hAnsi="Arial" w:cs="Arial"/>
          <w:color w:val="000000"/>
          <w:sz w:val="20"/>
          <w:szCs w:val="20"/>
        </w:rPr>
        <w:t>.</w:t>
      </w:r>
      <w:r w:rsidRPr="00AC6E16">
        <w:rPr>
          <w:rFonts w:ascii="Arial" w:hAnsi="Arial" w:cs="Arial"/>
          <w:color w:val="000000"/>
          <w:sz w:val="20"/>
          <w:szCs w:val="20"/>
        </w:rPr>
        <w:t xml:space="preserve"> </w:t>
      </w:r>
    </w:p>
    <w:p w14:paraId="6279F9C0" w14:textId="77777777" w:rsidR="00332EE6" w:rsidRDefault="00332EE6" w:rsidP="00332EE6">
      <w:pPr>
        <w:rPr>
          <w:rFonts w:ascii="Arial" w:hAnsi="Arial" w:cs="Arial"/>
          <w:color w:val="000000"/>
          <w:sz w:val="20"/>
          <w:szCs w:val="28"/>
          <w:lang w:val="en-US"/>
        </w:rPr>
      </w:pPr>
    </w:p>
    <w:p w14:paraId="7C6F34BB" w14:textId="77777777" w:rsidR="00332EE6" w:rsidRDefault="00332EE6" w:rsidP="00332EE6">
      <w:pPr>
        <w:pStyle w:val="MAPPA-Bodytext"/>
        <w:rPr>
          <w:szCs w:val="28"/>
        </w:rPr>
      </w:pPr>
    </w:p>
    <w:p w14:paraId="5146DF0C" w14:textId="77777777" w:rsidR="00332EE6" w:rsidRDefault="00332EE6" w:rsidP="00332EE6">
      <w:pPr>
        <w:pStyle w:val="MAPPA-Bodytext"/>
        <w:rPr>
          <w:szCs w:val="28"/>
        </w:rPr>
      </w:pPr>
    </w:p>
    <w:p w14:paraId="26E7A59B" w14:textId="77777777" w:rsidR="00332EE6" w:rsidRDefault="00332EE6" w:rsidP="00332EE6">
      <w:pPr>
        <w:pStyle w:val="MAPPA-Bodytext"/>
        <w:rPr>
          <w:szCs w:val="28"/>
        </w:rPr>
      </w:pPr>
    </w:p>
    <w:p w14:paraId="1FC8E169" w14:textId="77777777" w:rsidR="00332EE6" w:rsidRDefault="00332EE6" w:rsidP="00332EE6">
      <w:pPr>
        <w:pStyle w:val="MAPPA-Bodytext"/>
        <w:rPr>
          <w:szCs w:val="28"/>
        </w:rPr>
      </w:pPr>
    </w:p>
    <w:p w14:paraId="787C3229" w14:textId="77777777" w:rsidR="00332EE6" w:rsidRDefault="00332EE6" w:rsidP="00332EE6">
      <w:pPr>
        <w:pStyle w:val="MAPPA-Bodytext"/>
        <w:rPr>
          <w:szCs w:val="28"/>
        </w:rPr>
        <w:sectPr w:rsidR="00332EE6" w:rsidSect="00867C9E">
          <w:type w:val="continuous"/>
          <w:pgSz w:w="11905" w:h="16837" w:code="9"/>
          <w:pgMar w:top="720" w:right="720" w:bottom="720" w:left="720" w:header="720" w:footer="567" w:gutter="0"/>
          <w:cols w:num="2" w:space="720"/>
          <w:noEndnote/>
        </w:sectPr>
      </w:pPr>
    </w:p>
    <w:p w14:paraId="4F9D57DD" w14:textId="55596F5C" w:rsidR="00332EE6" w:rsidRPr="001560D7" w:rsidRDefault="001560D7" w:rsidP="00332EE6">
      <w:pPr>
        <w:pStyle w:val="MAPPA-Heaingsection"/>
        <w:rPr>
          <w:color w:val="7030A0"/>
          <w:sz w:val="72"/>
          <w:szCs w:val="72"/>
        </w:rPr>
      </w:pPr>
      <w:r w:rsidRPr="001560D7">
        <w:rPr>
          <w:color w:val="7030A0"/>
          <w:sz w:val="72"/>
          <w:szCs w:val="72"/>
        </w:rPr>
        <w:lastRenderedPageBreak/>
        <w:t>Nottinghamshire MAPPA</w:t>
      </w:r>
    </w:p>
    <w:p w14:paraId="6240949F"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29281B5" w14:textId="77777777" w:rsidR="00332EE6" w:rsidRDefault="00332EE6" w:rsidP="00332EE6">
      <w:pPr>
        <w:pStyle w:val="MAPPA-Bodytext"/>
        <w:sectPr w:rsidR="00332EE6" w:rsidSect="00867C9E">
          <w:footerReference w:type="default" r:id="rId27"/>
          <w:pgSz w:w="11905" w:h="16837" w:code="9"/>
          <w:pgMar w:top="720" w:right="720" w:bottom="720" w:left="720" w:header="720" w:footer="567" w:gutter="0"/>
          <w:cols w:space="720"/>
          <w:noEndnote/>
        </w:sectPr>
      </w:pPr>
    </w:p>
    <w:p w14:paraId="2986F6D0" w14:textId="77777777" w:rsidR="00332EE6" w:rsidRDefault="00332EE6" w:rsidP="00332EE6">
      <w:pPr>
        <w:pStyle w:val="MAPPA-Bodytext"/>
      </w:pPr>
    </w:p>
    <w:p w14:paraId="39B75F48" w14:textId="77777777" w:rsidR="00332EE6" w:rsidRDefault="00332EE6" w:rsidP="00332EE6">
      <w:pPr>
        <w:pStyle w:val="MAPPA-HeadingPara"/>
        <w:sectPr w:rsidR="00332EE6" w:rsidSect="00867C9E">
          <w:type w:val="continuous"/>
          <w:pgSz w:w="11905" w:h="16837" w:code="9"/>
          <w:pgMar w:top="720" w:right="720" w:bottom="720" w:left="720" w:header="720" w:footer="567" w:gutter="0"/>
          <w:cols w:space="720"/>
          <w:noEndnote/>
        </w:sectPr>
      </w:pPr>
    </w:p>
    <w:p w14:paraId="48EA6976" w14:textId="77777777" w:rsidR="00294458" w:rsidRPr="00AE1227" w:rsidRDefault="00294458" w:rsidP="00294458">
      <w:pPr>
        <w:pStyle w:val="MAPPA-Bodytext"/>
        <w:rPr>
          <w:b/>
        </w:rPr>
      </w:pPr>
      <w:r w:rsidRPr="00AE1227">
        <w:rPr>
          <w:b/>
        </w:rPr>
        <w:t>The Strategic Management Board (SMB)</w:t>
      </w:r>
    </w:p>
    <w:p w14:paraId="63DCA17E" w14:textId="77777777" w:rsidR="00294458" w:rsidRDefault="00294458" w:rsidP="00294458">
      <w:pPr>
        <w:pStyle w:val="MAPPA-Bodytext"/>
      </w:pPr>
      <w:r>
        <w:t xml:space="preserve"> The SMB maintains links with other key public protection agencies and meets three times a year to monitor the arrangements. The members are: </w:t>
      </w:r>
    </w:p>
    <w:p w14:paraId="222C3F82" w14:textId="77777777" w:rsidR="00294458" w:rsidRDefault="00294458" w:rsidP="00294458">
      <w:pPr>
        <w:pStyle w:val="MAPPA-Bodytext"/>
      </w:pPr>
      <w:r>
        <w:t>• Head</w:t>
      </w:r>
      <w:r w:rsidR="002E2604">
        <w:t>s</w:t>
      </w:r>
      <w:r>
        <w:t xml:space="preserve"> of Nottinghamshire Probation Service </w:t>
      </w:r>
      <w:r w:rsidR="002E2604">
        <w:t>(County &amp; City)</w:t>
      </w:r>
    </w:p>
    <w:p w14:paraId="168D24D0" w14:textId="77777777" w:rsidR="00294458" w:rsidRDefault="00294458" w:rsidP="00294458">
      <w:pPr>
        <w:pStyle w:val="MAPPA-Bodytext"/>
      </w:pPr>
      <w:r>
        <w:t xml:space="preserve">• Prison Governor Ranby Prison </w:t>
      </w:r>
    </w:p>
    <w:p w14:paraId="3FC9F716" w14:textId="77777777" w:rsidR="00294458" w:rsidRDefault="00294458" w:rsidP="00294458">
      <w:pPr>
        <w:pStyle w:val="MAPPA-Bodytext"/>
      </w:pPr>
      <w:r>
        <w:t xml:space="preserve">• Head of Public Protection Nottinghamshire Police </w:t>
      </w:r>
    </w:p>
    <w:p w14:paraId="4218D152" w14:textId="77777777" w:rsidR="00294458" w:rsidRDefault="00294458" w:rsidP="00294458">
      <w:pPr>
        <w:pStyle w:val="MAPPA-Bodytext"/>
      </w:pPr>
      <w:r>
        <w:t xml:space="preserve">• Group Manager, Targeted Support and Youth Justice Services, Nottinghamshire County Council </w:t>
      </w:r>
    </w:p>
    <w:p w14:paraId="4D2317D2" w14:textId="77777777" w:rsidR="00294458" w:rsidRDefault="00294458" w:rsidP="00294458">
      <w:pPr>
        <w:pStyle w:val="MAPPA-Bodytext"/>
      </w:pPr>
      <w:r>
        <w:t xml:space="preserve">• Group Manager, Safeguarding and Independent Review &amp; QA, Children and Young People’s Services Nottinghamshire County Council. </w:t>
      </w:r>
    </w:p>
    <w:p w14:paraId="5655B5BE" w14:textId="77777777" w:rsidR="00294458" w:rsidRDefault="00294458" w:rsidP="00294458">
      <w:pPr>
        <w:pStyle w:val="MAPPA-Bodytext"/>
      </w:pPr>
      <w:r>
        <w:t>• Service Director, Strategic Commissioning, Access and Safeguarding Adult Social Care, Health and Public Protection Department , Nottinghamshire County Council</w:t>
      </w:r>
    </w:p>
    <w:p w14:paraId="312A2DCA" w14:textId="77777777" w:rsidR="00294458" w:rsidRDefault="00294458" w:rsidP="00294458">
      <w:pPr>
        <w:pStyle w:val="MAPPA-Bodytext"/>
      </w:pPr>
      <w:r>
        <w:t xml:space="preserve">• Head of Housing Solutions Housing Aid  </w:t>
      </w:r>
    </w:p>
    <w:p w14:paraId="3A2B6A36" w14:textId="77777777" w:rsidR="00294458" w:rsidRDefault="00294458" w:rsidP="00294458">
      <w:pPr>
        <w:pStyle w:val="MAPPA-Bodytext"/>
      </w:pPr>
      <w:r>
        <w:t xml:space="preserve">• Head of Service for Children &amp; Families Team, Safeguarding and Quality Assurance, Nottingham City </w:t>
      </w:r>
    </w:p>
    <w:p w14:paraId="2E966C90" w14:textId="77777777" w:rsidR="00294458" w:rsidRDefault="00294458" w:rsidP="00294458">
      <w:pPr>
        <w:pStyle w:val="MAPPA-Bodytext"/>
      </w:pPr>
      <w:r>
        <w:t>• Director of Quality and Delivery. NHS Nottingham city clinical commissioning group</w:t>
      </w:r>
    </w:p>
    <w:p w14:paraId="5BCFAD13" w14:textId="77777777" w:rsidR="00294458" w:rsidRDefault="00294458" w:rsidP="00294458">
      <w:pPr>
        <w:pStyle w:val="MAPPA-Bodytext"/>
      </w:pPr>
      <w:r>
        <w:t xml:space="preserve">• General Manager of Low Secure and Community Forensic Directorate, Nottinghamshire Health Care Trust </w:t>
      </w:r>
    </w:p>
    <w:p w14:paraId="492F86CC" w14:textId="77777777" w:rsidR="00294458" w:rsidRDefault="00294458" w:rsidP="00294458">
      <w:pPr>
        <w:pStyle w:val="MAPPA-Bodytext"/>
      </w:pPr>
      <w:r>
        <w:t>• Strategic Lead for Youth Justice Services and FIP</w:t>
      </w:r>
    </w:p>
    <w:p w14:paraId="3F53123B" w14:textId="77777777" w:rsidR="00294458" w:rsidRDefault="00294458" w:rsidP="00294458">
      <w:pPr>
        <w:pStyle w:val="MAPPA-Bodytext"/>
      </w:pPr>
      <w:r>
        <w:t xml:space="preserve">• DWP Employment and Partnership Manager </w:t>
      </w:r>
    </w:p>
    <w:p w14:paraId="70EF3E44" w14:textId="77777777" w:rsidR="00294458" w:rsidRDefault="00294458" w:rsidP="00294458">
      <w:pPr>
        <w:pStyle w:val="MAPPA-Bodytext"/>
      </w:pPr>
      <w:r>
        <w:t>• Field Service Manager Electronic Monitoring Services</w:t>
      </w:r>
    </w:p>
    <w:p w14:paraId="2534B8EE" w14:textId="77777777" w:rsidR="00294458" w:rsidRDefault="00294458" w:rsidP="00294458">
      <w:pPr>
        <w:pStyle w:val="MAPPA-Bodytext"/>
      </w:pPr>
      <w:r>
        <w:t>• Director of Quality and Governance – Newark and Sherwood CCG</w:t>
      </w:r>
    </w:p>
    <w:p w14:paraId="72A7509C" w14:textId="5AEA5EB5" w:rsidR="00294458" w:rsidRDefault="00294458" w:rsidP="00294458">
      <w:pPr>
        <w:pStyle w:val="MAPPA-Bodytext"/>
      </w:pPr>
      <w:r>
        <w:t xml:space="preserve">• </w:t>
      </w:r>
      <w:r w:rsidR="00081873">
        <w:t xml:space="preserve">Nottinghamshire </w:t>
      </w:r>
      <w:r>
        <w:t xml:space="preserve">MAPPA </w:t>
      </w:r>
      <w:r w:rsidR="00081873">
        <w:t xml:space="preserve">Co-Ordinator </w:t>
      </w:r>
      <w:r>
        <w:t xml:space="preserve"> </w:t>
      </w:r>
    </w:p>
    <w:p w14:paraId="15EB578A" w14:textId="230D773D" w:rsidR="00294458" w:rsidRDefault="00294458" w:rsidP="00294458">
      <w:pPr>
        <w:pStyle w:val="MAPPA-Bodytext"/>
      </w:pPr>
      <w:r>
        <w:t xml:space="preserve">• MAPPA Policy and Strategy Officer Nottinghamshire National Probation Service </w:t>
      </w:r>
    </w:p>
    <w:p w14:paraId="008A1138" w14:textId="77777777" w:rsidR="00294458" w:rsidRPr="004F1AD7" w:rsidRDefault="00294458" w:rsidP="00294458">
      <w:pPr>
        <w:pStyle w:val="MAPPA-Bodytext"/>
        <w:rPr>
          <w:b/>
        </w:rPr>
      </w:pPr>
      <w:r w:rsidRPr="004F1AD7">
        <w:rPr>
          <w:b/>
        </w:rPr>
        <w:t>The Responsible Authority (RA)</w:t>
      </w:r>
    </w:p>
    <w:p w14:paraId="4BC33AC7" w14:textId="77777777" w:rsidR="00294458" w:rsidRDefault="00294458" w:rsidP="00294458">
      <w:pPr>
        <w:pStyle w:val="MAPPA-Bodytext"/>
      </w:pPr>
      <w:r>
        <w:t xml:space="preserve">The RA consists of the Probation, Police and Prison services. They are charged with the duty and responsibility to ensure that MAPPA is established in Nottinghamshire and for the assessment and management of risk of all identified MAPPA offenders. </w:t>
      </w:r>
    </w:p>
    <w:p w14:paraId="1BB2CF4B" w14:textId="77777777" w:rsidR="00294458" w:rsidRDefault="00294458" w:rsidP="00294458">
      <w:pPr>
        <w:pStyle w:val="MAPPA-Bodytext"/>
      </w:pPr>
      <w:r>
        <w:t xml:space="preserve">Probation is generally the lead agency for managing MAPPA violent offenders. </w:t>
      </w:r>
    </w:p>
    <w:p w14:paraId="35C73DDF" w14:textId="77777777" w:rsidR="00294458" w:rsidRDefault="00294458" w:rsidP="00294458">
      <w:pPr>
        <w:pStyle w:val="MAPPA-Bodytext"/>
      </w:pPr>
      <w:r>
        <w:t xml:space="preserve">Police management of sexual and violent offenders officers (MOSOVO) lead on the management of most sexual offenders. The MOSOVO officers are situated within the Police Public Protection department. There are three geographical teams who manage registered sexual offenders in the community and a central unit who coordinate their release from Prisons and Hospitals back into the community. </w:t>
      </w:r>
    </w:p>
    <w:p w14:paraId="379D74BF" w14:textId="77777777" w:rsidR="00294458" w:rsidRDefault="00294458" w:rsidP="00294458">
      <w:pPr>
        <w:pStyle w:val="MAPPA-Bodytext"/>
      </w:pPr>
      <w:r>
        <w:t xml:space="preserve">MAPPA offenders are identified by the police or in prison or hospital prior to their release. </w:t>
      </w:r>
    </w:p>
    <w:p w14:paraId="2E9489F8" w14:textId="77777777" w:rsidR="00294458" w:rsidRPr="00AE1227" w:rsidRDefault="00294458" w:rsidP="00294458">
      <w:pPr>
        <w:pStyle w:val="MAPPA-Bodytext"/>
        <w:rPr>
          <w:b/>
        </w:rPr>
      </w:pPr>
      <w:r w:rsidRPr="00AE1227">
        <w:rPr>
          <w:b/>
        </w:rPr>
        <w:t>Duty To Co-operate (DTC) Agencies</w:t>
      </w:r>
    </w:p>
    <w:p w14:paraId="137DCCFB" w14:textId="77777777" w:rsidR="00294458" w:rsidRDefault="00294458" w:rsidP="00294458">
      <w:pPr>
        <w:pStyle w:val="MAPPA-Bodytext"/>
      </w:pPr>
      <w:r>
        <w:t xml:space="preserve">These key agencies have a legal requirement to work within the MAPPA, to manage risk. Over the past </w:t>
      </w:r>
      <w:r w:rsidR="007C2C3E">
        <w:t>twenty</w:t>
      </w:r>
      <w:r>
        <w:t xml:space="preserve"> years, these Nottinghamshire partnerships have strengthened and are now extremely effective. </w:t>
      </w:r>
    </w:p>
    <w:p w14:paraId="5C2D8383" w14:textId="77777777" w:rsidR="00294458" w:rsidRDefault="00294458" w:rsidP="00294458">
      <w:pPr>
        <w:pStyle w:val="MAPPA-Bodytext"/>
      </w:pPr>
      <w:r>
        <w:t>Agencies include Adult and Children’s Social care, Health (including mental health), Youth Justice Services, Housing agencies, Education, DWP, Border agencies and Electronic Monitoring Services.</w:t>
      </w:r>
    </w:p>
    <w:p w14:paraId="591B199F" w14:textId="77777777" w:rsidR="00294458" w:rsidRPr="00AE1227" w:rsidRDefault="00294458" w:rsidP="00294458">
      <w:pPr>
        <w:pStyle w:val="MAPPA-Bodytext"/>
        <w:rPr>
          <w:b/>
        </w:rPr>
      </w:pPr>
      <w:r w:rsidRPr="00AE1227">
        <w:rPr>
          <w:b/>
        </w:rPr>
        <w:t xml:space="preserve">MAPPA Panels </w:t>
      </w:r>
    </w:p>
    <w:p w14:paraId="7FB2CB37" w14:textId="77777777" w:rsidR="00294458" w:rsidRDefault="00294458" w:rsidP="00294458">
      <w:pPr>
        <w:pStyle w:val="MAPPA-Bodytext"/>
      </w:pPr>
      <w:r>
        <w:t>The panel is made up of a core group of senior managers from the RA and DTC agencies. They meet once a month and manage the risk represented by level 3 offenders. There are plans to introduce core panels to all Mappa level 2 meetings. The proposal is that they would all be chaired by the Mappa unit.</w:t>
      </w:r>
    </w:p>
    <w:p w14:paraId="092AF0C0" w14:textId="77777777" w:rsidR="00294458" w:rsidRPr="00AE1227" w:rsidRDefault="00294458" w:rsidP="00294458">
      <w:pPr>
        <w:pStyle w:val="MAPPA-Bodytext"/>
        <w:rPr>
          <w:b/>
        </w:rPr>
      </w:pPr>
      <w:r w:rsidRPr="00AE1227">
        <w:rPr>
          <w:b/>
        </w:rPr>
        <w:t>MAPPA Unit</w:t>
      </w:r>
    </w:p>
    <w:p w14:paraId="4F629B4A" w14:textId="77777777" w:rsidR="00294458" w:rsidRPr="00856D56" w:rsidRDefault="00294458" w:rsidP="00294458">
      <w:pPr>
        <w:pStyle w:val="MAPPA-Bodytext"/>
      </w:pPr>
      <w:r>
        <w:t>The MAPPA Unit is a small co-located, Multi-Agency team with operational, strategic and training responsibilities. The unit coordinates and all level 2 and 3 meetings.</w:t>
      </w:r>
    </w:p>
    <w:p w14:paraId="46584DC0" w14:textId="77777777" w:rsidR="00332EE6" w:rsidRDefault="00332EE6" w:rsidP="00332EE6">
      <w:pPr>
        <w:pStyle w:val="MAPPA-Bodytext"/>
        <w:rPr>
          <w:szCs w:val="28"/>
        </w:rPr>
        <w:sectPr w:rsidR="00332EE6" w:rsidSect="00867C9E">
          <w:type w:val="continuous"/>
          <w:pgSz w:w="11905" w:h="16837" w:code="9"/>
          <w:pgMar w:top="720" w:right="720" w:bottom="720" w:left="720" w:header="720" w:footer="567" w:gutter="0"/>
          <w:cols w:num="2" w:space="720"/>
          <w:noEndnote/>
        </w:sectPr>
      </w:pPr>
    </w:p>
    <w:p w14:paraId="44AB9405" w14:textId="77777777" w:rsidR="00332EE6" w:rsidRPr="0069414D" w:rsidRDefault="00332EE6" w:rsidP="00081873">
      <w:pPr>
        <w:pStyle w:val="MAPPA-Bodytext"/>
        <w:spacing w:before="4800"/>
        <w:jc w:val="center"/>
        <w:rPr>
          <w:b/>
          <w:bCs/>
          <w:color w:val="7030A0"/>
          <w:sz w:val="26"/>
          <w:szCs w:val="26"/>
        </w:rPr>
      </w:pPr>
      <w:r w:rsidRPr="0069414D">
        <w:rPr>
          <w:b/>
          <w:bCs/>
          <w:color w:val="7030A0"/>
          <w:sz w:val="26"/>
          <w:szCs w:val="26"/>
        </w:rPr>
        <w:lastRenderedPageBreak/>
        <w:t>All MAPPA reports from England and Wales are published online at:</w:t>
      </w:r>
    </w:p>
    <w:p w14:paraId="055A526C" w14:textId="77777777" w:rsidR="00332EE6" w:rsidRPr="001A5708" w:rsidRDefault="009612F0" w:rsidP="00081873">
      <w:pPr>
        <w:pStyle w:val="MAPPA-Bodytext"/>
        <w:jc w:val="center"/>
        <w:rPr>
          <w:b/>
          <w:bCs/>
          <w:color w:val="007DC3"/>
          <w:sz w:val="26"/>
          <w:szCs w:val="26"/>
        </w:rPr>
      </w:pPr>
      <w:hyperlink r:id="rId28" w:history="1">
        <w:r w:rsidR="00332EE6" w:rsidRPr="00DC02EE">
          <w:rPr>
            <w:rStyle w:val="Hyperlink"/>
            <w:b/>
            <w:bCs/>
            <w:sz w:val="26"/>
            <w:szCs w:val="26"/>
          </w:rPr>
          <w:t>www.gov.uk</w:t>
        </w:r>
      </w:hyperlink>
    </w:p>
    <w:p w14:paraId="75189B19" w14:textId="77777777" w:rsidR="00332EE6" w:rsidRPr="0069414D" w:rsidRDefault="00332EE6" w:rsidP="00332EE6">
      <w:pPr>
        <w:pStyle w:val="MAPPA-Bodytext"/>
        <w:jc w:val="center"/>
        <w:rPr>
          <w:b/>
          <w:bCs/>
          <w:color w:val="7030A0"/>
          <w:sz w:val="26"/>
          <w:szCs w:val="26"/>
        </w:rPr>
      </w:pPr>
    </w:p>
    <w:p w14:paraId="4C03122E" w14:textId="77777777" w:rsidR="00332EE6" w:rsidRPr="0069414D" w:rsidRDefault="00332EE6" w:rsidP="00332EE6">
      <w:pPr>
        <w:pStyle w:val="MAPPA-Bodytext"/>
        <w:jc w:val="center"/>
        <w:rPr>
          <w:b/>
          <w:bCs/>
          <w:color w:val="7030A0"/>
          <w:sz w:val="26"/>
          <w:szCs w:val="26"/>
        </w:rPr>
      </w:pPr>
    </w:p>
    <w:p w14:paraId="2CDD518B" w14:textId="77777777" w:rsidR="00332EE6" w:rsidRPr="0069414D" w:rsidRDefault="00332EE6" w:rsidP="00332EE6">
      <w:pPr>
        <w:pStyle w:val="MAPPA-Bodytext"/>
        <w:jc w:val="center"/>
        <w:rPr>
          <w:b/>
          <w:bCs/>
          <w:color w:val="7030A0"/>
          <w:sz w:val="26"/>
          <w:szCs w:val="26"/>
        </w:rPr>
      </w:pPr>
    </w:p>
    <w:p w14:paraId="418E0B60" w14:textId="77777777" w:rsidR="00332EE6" w:rsidRPr="0069414D" w:rsidRDefault="00332EE6" w:rsidP="00332EE6">
      <w:pPr>
        <w:pStyle w:val="MAPPA-Bodytext"/>
        <w:jc w:val="center"/>
        <w:rPr>
          <w:b/>
          <w:bCs/>
          <w:color w:val="7030A0"/>
          <w:sz w:val="26"/>
          <w:szCs w:val="26"/>
        </w:rPr>
      </w:pPr>
    </w:p>
    <w:p w14:paraId="01573F77" w14:textId="77777777" w:rsidR="00332EE6" w:rsidRPr="0069414D" w:rsidRDefault="00332EE6" w:rsidP="00332EE6">
      <w:pPr>
        <w:pStyle w:val="MAPPA-Bodytext"/>
        <w:jc w:val="center"/>
        <w:rPr>
          <w:b/>
          <w:bCs/>
          <w:color w:val="7030A0"/>
          <w:sz w:val="26"/>
          <w:szCs w:val="26"/>
        </w:rPr>
      </w:pPr>
    </w:p>
    <w:p w14:paraId="0B2A66B1" w14:textId="77777777" w:rsidR="00332EE6" w:rsidRPr="0069414D" w:rsidRDefault="00332EE6" w:rsidP="00332EE6">
      <w:pPr>
        <w:pStyle w:val="MAPPA-Bodytext"/>
        <w:jc w:val="center"/>
        <w:rPr>
          <w:b/>
          <w:bCs/>
          <w:color w:val="7030A0"/>
          <w:sz w:val="26"/>
          <w:szCs w:val="26"/>
        </w:rPr>
      </w:pPr>
    </w:p>
    <w:p w14:paraId="74B23917" w14:textId="77777777" w:rsidR="00332EE6" w:rsidRPr="0069414D" w:rsidRDefault="00332EE6" w:rsidP="00332EE6">
      <w:pPr>
        <w:pStyle w:val="MAPPA-Bodytext"/>
        <w:jc w:val="center"/>
        <w:rPr>
          <w:b/>
          <w:bCs/>
          <w:color w:val="7030A0"/>
          <w:sz w:val="26"/>
          <w:szCs w:val="26"/>
        </w:rPr>
      </w:pPr>
    </w:p>
    <w:p w14:paraId="744513D0" w14:textId="77777777" w:rsidR="00332EE6" w:rsidRPr="0069414D" w:rsidRDefault="00332EE6" w:rsidP="00332EE6">
      <w:pPr>
        <w:pStyle w:val="MAPPA-Bodytext"/>
        <w:jc w:val="center"/>
        <w:rPr>
          <w:b/>
          <w:bCs/>
          <w:color w:val="7030A0"/>
          <w:sz w:val="26"/>
          <w:szCs w:val="26"/>
        </w:rPr>
      </w:pPr>
    </w:p>
    <w:p w14:paraId="1915FCBD" w14:textId="77777777" w:rsidR="00332EE6" w:rsidRPr="0069414D" w:rsidRDefault="00332EE6" w:rsidP="00332EE6">
      <w:pPr>
        <w:pStyle w:val="MAPPA-Bodytext"/>
        <w:jc w:val="center"/>
        <w:rPr>
          <w:b/>
          <w:bCs/>
          <w:color w:val="7030A0"/>
          <w:sz w:val="26"/>
          <w:szCs w:val="26"/>
        </w:rPr>
      </w:pPr>
    </w:p>
    <w:p w14:paraId="7B8DA0F8" w14:textId="77777777" w:rsidR="00332EE6" w:rsidRPr="0069414D" w:rsidRDefault="00332EE6" w:rsidP="00332EE6">
      <w:pPr>
        <w:pStyle w:val="MAPPA-Bodytext"/>
        <w:jc w:val="center"/>
        <w:rPr>
          <w:b/>
          <w:bCs/>
          <w:color w:val="7030A0"/>
          <w:sz w:val="26"/>
          <w:szCs w:val="26"/>
        </w:rPr>
      </w:pPr>
    </w:p>
    <w:p w14:paraId="036540C9" w14:textId="2421BDB5" w:rsidR="00332EE6" w:rsidRPr="0069414D" w:rsidRDefault="00332EE6" w:rsidP="00332EE6">
      <w:pPr>
        <w:pStyle w:val="MAPPA-Bodytext"/>
        <w:jc w:val="center"/>
        <w:rPr>
          <w:b/>
          <w:bCs/>
          <w:color w:val="7030A0"/>
          <w:sz w:val="26"/>
          <w:szCs w:val="26"/>
        </w:rPr>
      </w:pPr>
    </w:p>
    <w:p w14:paraId="5E7307B4" w14:textId="77777777" w:rsidR="00332EE6" w:rsidRPr="0069414D" w:rsidRDefault="00332EE6" w:rsidP="00332EE6">
      <w:pPr>
        <w:pStyle w:val="MAPPA-Bodytext"/>
        <w:jc w:val="center"/>
        <w:rPr>
          <w:b/>
          <w:bCs/>
          <w:color w:val="7030A0"/>
          <w:sz w:val="26"/>
          <w:szCs w:val="26"/>
        </w:rPr>
      </w:pPr>
    </w:p>
    <w:p w14:paraId="7DFB766E" w14:textId="7FD61B77" w:rsidR="00332EE6" w:rsidRPr="0069414D" w:rsidRDefault="00332EE6" w:rsidP="00332EE6">
      <w:pPr>
        <w:pStyle w:val="MAPPA-Bodytext"/>
        <w:jc w:val="center"/>
        <w:rPr>
          <w:b/>
          <w:bCs/>
          <w:color w:val="7030A0"/>
          <w:sz w:val="26"/>
          <w:szCs w:val="26"/>
        </w:rPr>
      </w:pPr>
    </w:p>
    <w:p w14:paraId="4540823E" w14:textId="3D4D0C3A" w:rsidR="00DE3907" w:rsidRDefault="00DE3907" w:rsidP="00A24965">
      <w:pPr>
        <w:rPr>
          <w:rFonts w:ascii="Arial" w:hAnsi="Arial" w:cs="Arial"/>
          <w:color w:val="007DC3"/>
          <w:sz w:val="22"/>
          <w:szCs w:val="22"/>
        </w:rPr>
      </w:pPr>
    </w:p>
    <w:p w14:paraId="4330C02D" w14:textId="77777777" w:rsidR="000B5BFA" w:rsidRDefault="000B5BFA" w:rsidP="00A24965">
      <w:pPr>
        <w:rPr>
          <w:rFonts w:ascii="Arial" w:hAnsi="Arial" w:cs="Arial"/>
          <w:color w:val="007DC3"/>
          <w:sz w:val="22"/>
          <w:szCs w:val="22"/>
        </w:rPr>
      </w:pPr>
    </w:p>
    <w:p w14:paraId="4F2CB02E" w14:textId="77777777" w:rsidR="000B5BFA" w:rsidRDefault="000B5BFA" w:rsidP="00A24965">
      <w:pPr>
        <w:rPr>
          <w:rFonts w:ascii="Arial" w:hAnsi="Arial" w:cs="Arial"/>
          <w:color w:val="007DC3"/>
          <w:sz w:val="22"/>
          <w:szCs w:val="22"/>
        </w:rPr>
        <w:sectPr w:rsidR="000B5BFA" w:rsidSect="00867C9E">
          <w:footerReference w:type="default" r:id="rId29"/>
          <w:pgSz w:w="11905" w:h="16837" w:code="9"/>
          <w:pgMar w:top="720" w:right="720" w:bottom="720" w:left="720" w:header="720" w:footer="567" w:gutter="0"/>
          <w:cols w:space="720"/>
          <w:noEndnote/>
          <w:docGrid w:linePitch="360"/>
        </w:sectPr>
      </w:pPr>
    </w:p>
    <w:p w14:paraId="5844C10F" w14:textId="77777777" w:rsidR="000B5BFA" w:rsidRDefault="000B5BFA" w:rsidP="00A24965">
      <w:pPr>
        <w:rPr>
          <w:rFonts w:ascii="Arial" w:hAnsi="Arial" w:cs="Arial"/>
          <w:color w:val="007DC3"/>
          <w:sz w:val="22"/>
          <w:szCs w:val="22"/>
        </w:rPr>
      </w:pPr>
    </w:p>
    <w:p w14:paraId="3C5B0B36" w14:textId="77777777" w:rsidR="000B5BFA" w:rsidRDefault="000B5BFA" w:rsidP="00A24965">
      <w:pPr>
        <w:rPr>
          <w:rFonts w:ascii="Arial" w:hAnsi="Arial" w:cs="Arial"/>
          <w:color w:val="007DC3"/>
          <w:sz w:val="22"/>
          <w:szCs w:val="22"/>
        </w:rPr>
      </w:pPr>
    </w:p>
    <w:p w14:paraId="5C45D3BF" w14:textId="73A04961" w:rsidR="000B5BFA" w:rsidRDefault="000B5BFA" w:rsidP="00A24965">
      <w:pPr>
        <w:rPr>
          <w:rFonts w:ascii="Arial" w:hAnsi="Arial" w:cs="Arial"/>
          <w:color w:val="007DC3"/>
          <w:sz w:val="22"/>
          <w:szCs w:val="22"/>
        </w:rPr>
      </w:pPr>
      <w:r w:rsidRPr="0069414D">
        <w:rPr>
          <w:noProof/>
          <w:color w:val="7030A0"/>
        </w:rPr>
        <w:drawing>
          <wp:inline distT="0" distB="0" distL="0" distR="0" wp14:anchorId="672BFDCE" wp14:editId="7B8121C1">
            <wp:extent cx="1910080" cy="748835"/>
            <wp:effectExtent l="0" t="0" r="0" b="0"/>
            <wp:docPr id="3" name="Picture 3" descr="National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Probation Servi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10080" cy="748835"/>
                    </a:xfrm>
                    <a:prstGeom prst="rect">
                      <a:avLst/>
                    </a:prstGeom>
                    <a:noFill/>
                  </pic:spPr>
                </pic:pic>
              </a:graphicData>
            </a:graphic>
          </wp:inline>
        </w:drawing>
      </w:r>
    </w:p>
    <w:p w14:paraId="789DC4F1" w14:textId="1AA7851B" w:rsidR="000B5BFA" w:rsidRDefault="000B5BFA" w:rsidP="00A24965">
      <w:pPr>
        <w:rPr>
          <w:rFonts w:ascii="Arial" w:hAnsi="Arial" w:cs="Arial"/>
          <w:color w:val="007DC3"/>
          <w:sz w:val="22"/>
          <w:szCs w:val="22"/>
        </w:rPr>
      </w:pPr>
    </w:p>
    <w:p w14:paraId="5806A334" w14:textId="46CB990D" w:rsidR="000B5BFA" w:rsidRDefault="000B5BFA" w:rsidP="00A24965">
      <w:pPr>
        <w:rPr>
          <w:rFonts w:ascii="Arial" w:hAnsi="Arial" w:cs="Arial"/>
          <w:color w:val="007DC3"/>
          <w:sz w:val="22"/>
          <w:szCs w:val="22"/>
        </w:rPr>
      </w:pPr>
    </w:p>
    <w:p w14:paraId="553DA1E0" w14:textId="77777777" w:rsidR="000B5BFA" w:rsidRDefault="000B5BFA" w:rsidP="00A24965">
      <w:pPr>
        <w:rPr>
          <w:rFonts w:ascii="Arial" w:hAnsi="Arial" w:cs="Arial"/>
          <w:color w:val="007DC3"/>
          <w:sz w:val="22"/>
          <w:szCs w:val="22"/>
        </w:rPr>
      </w:pPr>
    </w:p>
    <w:p w14:paraId="6C19F758" w14:textId="77777777" w:rsidR="000B5BFA" w:rsidRDefault="000B5BFA" w:rsidP="00A24965">
      <w:pPr>
        <w:rPr>
          <w:rFonts w:ascii="Arial" w:hAnsi="Arial" w:cs="Arial"/>
          <w:color w:val="007DC3"/>
          <w:sz w:val="22"/>
          <w:szCs w:val="22"/>
        </w:rPr>
      </w:pPr>
    </w:p>
    <w:p w14:paraId="240EA0BE" w14:textId="679A9675" w:rsidR="000B5BFA" w:rsidRDefault="000B5BFA" w:rsidP="00A24965">
      <w:pPr>
        <w:rPr>
          <w:rFonts w:ascii="Arial" w:hAnsi="Arial" w:cs="Arial"/>
          <w:color w:val="007DC3"/>
          <w:sz w:val="22"/>
          <w:szCs w:val="22"/>
        </w:rPr>
      </w:pPr>
    </w:p>
    <w:p w14:paraId="136EE2B3" w14:textId="71E30172" w:rsidR="000B5BFA" w:rsidRDefault="000B5BFA" w:rsidP="00A24965">
      <w:pPr>
        <w:rPr>
          <w:rFonts w:ascii="Arial" w:hAnsi="Arial" w:cs="Arial"/>
          <w:color w:val="007DC3"/>
          <w:sz w:val="22"/>
          <w:szCs w:val="22"/>
        </w:rPr>
      </w:pPr>
      <w:r w:rsidRPr="0069414D">
        <w:rPr>
          <w:noProof/>
          <w:color w:val="7030A0"/>
        </w:rPr>
        <w:drawing>
          <wp:inline distT="0" distB="0" distL="0" distR="0" wp14:anchorId="2CBB54CC" wp14:editId="29B0DC9E">
            <wp:extent cx="1465200" cy="972000"/>
            <wp:effectExtent l="0" t="0" r="1905"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 Prison Service 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5200" cy="972000"/>
                    </a:xfrm>
                    <a:prstGeom prst="rect">
                      <a:avLst/>
                    </a:prstGeom>
                    <a:noFill/>
                  </pic:spPr>
                </pic:pic>
              </a:graphicData>
            </a:graphic>
          </wp:inline>
        </w:drawing>
      </w:r>
    </w:p>
    <w:p w14:paraId="1249720C" w14:textId="627AB6EB" w:rsidR="000B5BFA" w:rsidRDefault="000B5BFA" w:rsidP="00A24965">
      <w:pPr>
        <w:rPr>
          <w:rFonts w:ascii="Arial" w:hAnsi="Arial" w:cs="Arial"/>
          <w:color w:val="007DC3"/>
          <w:sz w:val="22"/>
          <w:szCs w:val="22"/>
        </w:rPr>
      </w:pPr>
      <w:r>
        <w:rPr>
          <w:b/>
          <w:bCs/>
          <w:noProof/>
          <w:color w:val="007DC3"/>
          <w:sz w:val="26"/>
          <w:szCs w:val="26"/>
        </w:rPr>
        <w:drawing>
          <wp:inline distT="0" distB="0" distL="0" distR="0" wp14:anchorId="18C84877" wp14:editId="6CAD6577">
            <wp:extent cx="1910080" cy="1098597"/>
            <wp:effectExtent l="0" t="0" r="0" b="6350"/>
            <wp:docPr id="7" name="Picture 7" descr="Nottinghamshire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ottinghamshire Police Logo"/>
                    <pic:cNvPicPr/>
                  </pic:nvPicPr>
                  <pic:blipFill>
                    <a:blip r:embed="rId32">
                      <a:extLst>
                        <a:ext uri="{28A0092B-C50C-407E-A947-70E740481C1C}">
                          <a14:useLocalDpi xmlns:a14="http://schemas.microsoft.com/office/drawing/2010/main" val="0"/>
                        </a:ext>
                      </a:extLst>
                    </a:blip>
                    <a:stretch>
                      <a:fillRect/>
                    </a:stretch>
                  </pic:blipFill>
                  <pic:spPr>
                    <a:xfrm>
                      <a:off x="0" y="0"/>
                      <a:ext cx="1910080" cy="1098597"/>
                    </a:xfrm>
                    <a:prstGeom prst="rect">
                      <a:avLst/>
                    </a:prstGeom>
                  </pic:spPr>
                </pic:pic>
              </a:graphicData>
            </a:graphic>
          </wp:inline>
        </w:drawing>
      </w:r>
    </w:p>
    <w:p w14:paraId="3C474413" w14:textId="77777777" w:rsidR="000B5BFA" w:rsidRDefault="000B5BFA" w:rsidP="00A24965">
      <w:pPr>
        <w:rPr>
          <w:rFonts w:ascii="Arial" w:hAnsi="Arial" w:cs="Arial"/>
          <w:color w:val="007DC3"/>
          <w:sz w:val="22"/>
          <w:szCs w:val="22"/>
        </w:rPr>
      </w:pPr>
    </w:p>
    <w:sectPr w:rsidR="000B5BFA" w:rsidSect="000B5BF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072B" w14:textId="77777777" w:rsidR="008343EB" w:rsidRDefault="008343EB" w:rsidP="001A5708">
      <w:pPr>
        <w:pStyle w:val="MAPPA-Bodytext"/>
      </w:pPr>
      <w:r>
        <w:separator/>
      </w:r>
    </w:p>
  </w:endnote>
  <w:endnote w:type="continuationSeparator" w:id="0">
    <w:p w14:paraId="571C68F5" w14:textId="77777777" w:rsidR="008343EB" w:rsidRDefault="008343EB" w:rsidP="001A5708">
      <w:pPr>
        <w:pStyle w:val="MAPPA-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Bold">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0A55" w14:textId="77777777"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8883E1D" w14:textId="77777777" w:rsidR="00DE3907" w:rsidRDefault="00DE3907" w:rsidP="0009323B">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234F"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2E2604">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853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B579" w14:textId="77777777"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841A54">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377D"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F2689E"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3EF7" w14:textId="77777777"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841A54">
      <w:rPr>
        <w:rStyle w:val="PageNumber"/>
        <w:rFonts w:ascii="Arial" w:hAnsi="Arial" w:cs="Arial"/>
        <w:noProof/>
        <w:sz w:val="18"/>
        <w:szCs w:val="18"/>
      </w:rPr>
      <w:t>1</w:t>
    </w:r>
    <w:r w:rsidRPr="00735E92">
      <w:rPr>
        <w:rStyle w:val="PageNumber"/>
        <w:rFonts w:ascii="Arial" w:hAnsi="Arial" w:cs="Arial"/>
        <w:sz w:val="18"/>
        <w:szCs w:val="18"/>
      </w:rPr>
      <w:fldChar w:fldCharType="end"/>
    </w:r>
  </w:p>
  <w:p w14:paraId="35AA5196"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3EC0"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3</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6E56"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841A54">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23C3"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5</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63F"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F60B"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841A54">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D9CA" w14:textId="77777777" w:rsidR="008343EB" w:rsidRDefault="008343EB" w:rsidP="001A5708">
      <w:pPr>
        <w:pStyle w:val="MAPPA-Bodytext"/>
      </w:pPr>
      <w:r>
        <w:separator/>
      </w:r>
    </w:p>
  </w:footnote>
  <w:footnote w:type="continuationSeparator" w:id="0">
    <w:p w14:paraId="1779588D" w14:textId="77777777" w:rsidR="008343EB" w:rsidRDefault="008343EB" w:rsidP="001A5708">
      <w:pPr>
        <w:pStyle w:val="MAPPA-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81F6" w14:textId="77777777" w:rsidR="005553B6" w:rsidRDefault="00555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6F22" w14:textId="77777777" w:rsidR="005553B6" w:rsidRDefault="00555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2DF1" w14:textId="77777777" w:rsidR="005553B6" w:rsidRDefault="00555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6220627">
    <w:abstractNumId w:val="0"/>
  </w:num>
  <w:num w:numId="2" w16cid:durableId="36439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33165"/>
    <w:rsid w:val="00036426"/>
    <w:rsid w:val="00051427"/>
    <w:rsid w:val="00051C64"/>
    <w:rsid w:val="000536B2"/>
    <w:rsid w:val="00081873"/>
    <w:rsid w:val="000865E1"/>
    <w:rsid w:val="0009323B"/>
    <w:rsid w:val="000A6775"/>
    <w:rsid w:val="000B5BFA"/>
    <w:rsid w:val="000C6621"/>
    <w:rsid w:val="000D1D53"/>
    <w:rsid w:val="00105344"/>
    <w:rsid w:val="001435D5"/>
    <w:rsid w:val="00154D3E"/>
    <w:rsid w:val="001560D7"/>
    <w:rsid w:val="00194B1F"/>
    <w:rsid w:val="001976DE"/>
    <w:rsid w:val="001A5708"/>
    <w:rsid w:val="001C5724"/>
    <w:rsid w:val="001D15DF"/>
    <w:rsid w:val="001E4AC5"/>
    <w:rsid w:val="001E793A"/>
    <w:rsid w:val="001F341F"/>
    <w:rsid w:val="001F3FB5"/>
    <w:rsid w:val="00233AB5"/>
    <w:rsid w:val="002446A8"/>
    <w:rsid w:val="00247F7E"/>
    <w:rsid w:val="002621F5"/>
    <w:rsid w:val="00264F70"/>
    <w:rsid w:val="0028230C"/>
    <w:rsid w:val="0028255E"/>
    <w:rsid w:val="00294458"/>
    <w:rsid w:val="002A5E53"/>
    <w:rsid w:val="002B21E2"/>
    <w:rsid w:val="002C0567"/>
    <w:rsid w:val="002D5862"/>
    <w:rsid w:val="002E2604"/>
    <w:rsid w:val="002F763F"/>
    <w:rsid w:val="00302FA6"/>
    <w:rsid w:val="00322370"/>
    <w:rsid w:val="00331827"/>
    <w:rsid w:val="00332369"/>
    <w:rsid w:val="00332E70"/>
    <w:rsid w:val="00332EE6"/>
    <w:rsid w:val="00337928"/>
    <w:rsid w:val="00347A55"/>
    <w:rsid w:val="00395ED3"/>
    <w:rsid w:val="00397110"/>
    <w:rsid w:val="003A385F"/>
    <w:rsid w:val="003B6695"/>
    <w:rsid w:val="003C0362"/>
    <w:rsid w:val="003C36DD"/>
    <w:rsid w:val="00421553"/>
    <w:rsid w:val="00441138"/>
    <w:rsid w:val="0044659C"/>
    <w:rsid w:val="00447974"/>
    <w:rsid w:val="00476A59"/>
    <w:rsid w:val="0049462F"/>
    <w:rsid w:val="004C40BA"/>
    <w:rsid w:val="00507932"/>
    <w:rsid w:val="00531283"/>
    <w:rsid w:val="005553B6"/>
    <w:rsid w:val="00560418"/>
    <w:rsid w:val="00561E0B"/>
    <w:rsid w:val="00563E49"/>
    <w:rsid w:val="005C38E8"/>
    <w:rsid w:val="005E1880"/>
    <w:rsid w:val="005E20D8"/>
    <w:rsid w:val="0061276D"/>
    <w:rsid w:val="00662BE5"/>
    <w:rsid w:val="00673321"/>
    <w:rsid w:val="00683239"/>
    <w:rsid w:val="00683618"/>
    <w:rsid w:val="006903CE"/>
    <w:rsid w:val="0069414D"/>
    <w:rsid w:val="00695CEC"/>
    <w:rsid w:val="006A056D"/>
    <w:rsid w:val="006C58FB"/>
    <w:rsid w:val="006D6914"/>
    <w:rsid w:val="006F3956"/>
    <w:rsid w:val="007000D6"/>
    <w:rsid w:val="007059C7"/>
    <w:rsid w:val="00717E7B"/>
    <w:rsid w:val="00722F6A"/>
    <w:rsid w:val="00730FAC"/>
    <w:rsid w:val="00735E92"/>
    <w:rsid w:val="00744D61"/>
    <w:rsid w:val="007477FB"/>
    <w:rsid w:val="00761301"/>
    <w:rsid w:val="00775A20"/>
    <w:rsid w:val="00783E05"/>
    <w:rsid w:val="00786A3A"/>
    <w:rsid w:val="007A47E1"/>
    <w:rsid w:val="007B7706"/>
    <w:rsid w:val="007C0669"/>
    <w:rsid w:val="007C08AC"/>
    <w:rsid w:val="007C095C"/>
    <w:rsid w:val="007C2C3E"/>
    <w:rsid w:val="007C7106"/>
    <w:rsid w:val="007E2BA1"/>
    <w:rsid w:val="00815132"/>
    <w:rsid w:val="008218B2"/>
    <w:rsid w:val="008343EB"/>
    <w:rsid w:val="00841A54"/>
    <w:rsid w:val="00846E32"/>
    <w:rsid w:val="00856D56"/>
    <w:rsid w:val="00860C24"/>
    <w:rsid w:val="00867C9E"/>
    <w:rsid w:val="008872F1"/>
    <w:rsid w:val="0089121C"/>
    <w:rsid w:val="008C1531"/>
    <w:rsid w:val="008C3C42"/>
    <w:rsid w:val="008C6282"/>
    <w:rsid w:val="008E15B2"/>
    <w:rsid w:val="008E2C4B"/>
    <w:rsid w:val="008E75AB"/>
    <w:rsid w:val="008F07F2"/>
    <w:rsid w:val="008F243E"/>
    <w:rsid w:val="008F69D6"/>
    <w:rsid w:val="0090299B"/>
    <w:rsid w:val="00904927"/>
    <w:rsid w:val="0091273E"/>
    <w:rsid w:val="00912A31"/>
    <w:rsid w:val="0092048C"/>
    <w:rsid w:val="009311B4"/>
    <w:rsid w:val="00940740"/>
    <w:rsid w:val="0095383C"/>
    <w:rsid w:val="009612F0"/>
    <w:rsid w:val="00962504"/>
    <w:rsid w:val="00972A5D"/>
    <w:rsid w:val="0097502F"/>
    <w:rsid w:val="00975489"/>
    <w:rsid w:val="00982C08"/>
    <w:rsid w:val="009A2F9E"/>
    <w:rsid w:val="009C3B63"/>
    <w:rsid w:val="009D1E05"/>
    <w:rsid w:val="00A24965"/>
    <w:rsid w:val="00A44770"/>
    <w:rsid w:val="00A92CE4"/>
    <w:rsid w:val="00AB164C"/>
    <w:rsid w:val="00AC3FBF"/>
    <w:rsid w:val="00AC6E16"/>
    <w:rsid w:val="00AD38C4"/>
    <w:rsid w:val="00AD78C6"/>
    <w:rsid w:val="00AE4C19"/>
    <w:rsid w:val="00AF7C22"/>
    <w:rsid w:val="00B22B4A"/>
    <w:rsid w:val="00B23C80"/>
    <w:rsid w:val="00B24A02"/>
    <w:rsid w:val="00B27C0E"/>
    <w:rsid w:val="00B46863"/>
    <w:rsid w:val="00B50D53"/>
    <w:rsid w:val="00B54A0B"/>
    <w:rsid w:val="00B614A4"/>
    <w:rsid w:val="00B700D7"/>
    <w:rsid w:val="00B862DB"/>
    <w:rsid w:val="00BB22A3"/>
    <w:rsid w:val="00BB2E22"/>
    <w:rsid w:val="00BB3AD5"/>
    <w:rsid w:val="00BC0531"/>
    <w:rsid w:val="00BE68F4"/>
    <w:rsid w:val="00BF736E"/>
    <w:rsid w:val="00C0210E"/>
    <w:rsid w:val="00C16E95"/>
    <w:rsid w:val="00C242F2"/>
    <w:rsid w:val="00C3458D"/>
    <w:rsid w:val="00C40C02"/>
    <w:rsid w:val="00C449EC"/>
    <w:rsid w:val="00C83D0E"/>
    <w:rsid w:val="00CD7E11"/>
    <w:rsid w:val="00CF1FE2"/>
    <w:rsid w:val="00D05B67"/>
    <w:rsid w:val="00D16C41"/>
    <w:rsid w:val="00D56F7B"/>
    <w:rsid w:val="00D57D76"/>
    <w:rsid w:val="00D8050D"/>
    <w:rsid w:val="00D8081A"/>
    <w:rsid w:val="00D83865"/>
    <w:rsid w:val="00D929AA"/>
    <w:rsid w:val="00DA5274"/>
    <w:rsid w:val="00DA6F10"/>
    <w:rsid w:val="00DB56AB"/>
    <w:rsid w:val="00DC02EE"/>
    <w:rsid w:val="00DC3228"/>
    <w:rsid w:val="00DC35A8"/>
    <w:rsid w:val="00DE3907"/>
    <w:rsid w:val="00E50500"/>
    <w:rsid w:val="00E53FDC"/>
    <w:rsid w:val="00E6461E"/>
    <w:rsid w:val="00E758B3"/>
    <w:rsid w:val="00EA28A2"/>
    <w:rsid w:val="00ED543E"/>
    <w:rsid w:val="00EE119F"/>
    <w:rsid w:val="00F0078E"/>
    <w:rsid w:val="00F04209"/>
    <w:rsid w:val="00F333E2"/>
    <w:rsid w:val="00F346C9"/>
    <w:rsid w:val="00F37895"/>
    <w:rsid w:val="00F53D72"/>
    <w:rsid w:val="00F762D0"/>
    <w:rsid w:val="00F83EB4"/>
    <w:rsid w:val="00FA7018"/>
    <w:rsid w:val="00FD5A6F"/>
    <w:rsid w:val="00FE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107C72F9"/>
  <w15:docId w15:val="{8E32CBF6-6CBA-4013-BE1D-13D67FBA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2427">
      <w:bodyDiv w:val="1"/>
      <w:marLeft w:val="0"/>
      <w:marRight w:val="0"/>
      <w:marTop w:val="0"/>
      <w:marBottom w:val="0"/>
      <w:divBdr>
        <w:top w:val="none" w:sz="0" w:space="0" w:color="auto"/>
        <w:left w:val="none" w:sz="0" w:space="0" w:color="auto"/>
        <w:bottom w:val="none" w:sz="0" w:space="0" w:color="auto"/>
        <w:right w:val="none" w:sz="0" w:space="0" w:color="auto"/>
      </w:divBdr>
    </w:div>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531765067">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 w:id="201761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yperlink" Target="http://www.gov.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overnment/publications/multi-agency-public-protection-arrangements-review" TargetMode="Externa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www.gov.uk"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image" Target="media/image3.png"/><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2.xml><?xml version="1.0" encoding="utf-8"?>
<ds:datastoreItem xmlns:ds="http://schemas.openxmlformats.org/officeDocument/2006/customXml" ds:itemID="{E2D53514-5164-4782-88E3-28591497E2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44FE96-6E68-4E22-AE1B-4C999C4765B3}">
  <ds:schemaRefs>
    <ds:schemaRef ds:uri="http://schemas.openxmlformats.org/officeDocument/2006/bibliography"/>
  </ds:schemaRefs>
</ds:datastoreItem>
</file>

<file path=customXml/itemProps4.xml><?xml version="1.0" encoding="utf-8"?>
<ds:datastoreItem xmlns:ds="http://schemas.openxmlformats.org/officeDocument/2006/customXml" ds:itemID="{2A84EE6A-C0CA-4948-A88D-D00F8920D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11</Pages>
  <Words>2974</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3</cp:revision>
  <dcterms:created xsi:type="dcterms:W3CDTF">2023-10-13T11:50:00Z</dcterms:created>
  <dcterms:modified xsi:type="dcterms:W3CDTF">2023-10-23T11:39:00Z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MSIP_Label_0c9a534a-49dd-43c4-b4e5-f206b4dbf0e4_Enabled">
    <vt:lpwstr>true</vt:lpwstr>
  </property>
  <property fmtid="{D5CDD505-2E9C-101B-9397-08002B2CF9AE}" pid="4" name="MSIP_Label_0c9a534a-49dd-43c4-b4e5-f206b4dbf0e4_SetDate">
    <vt:lpwstr>2022-10-12T21:16:57Z</vt:lpwstr>
  </property>
  <property fmtid="{D5CDD505-2E9C-101B-9397-08002B2CF9AE}" pid="5" name="MSIP_Label_0c9a534a-49dd-43c4-b4e5-f206b4dbf0e4_Method">
    <vt:lpwstr>Standard</vt:lpwstr>
  </property>
  <property fmtid="{D5CDD505-2E9C-101B-9397-08002B2CF9AE}" pid="6" name="MSIP_Label_0c9a534a-49dd-43c4-b4e5-f206b4dbf0e4_Name">
    <vt:lpwstr>0c9a534a-49dd-43c4-b4e5-f206b4dbf0e4</vt:lpwstr>
  </property>
  <property fmtid="{D5CDD505-2E9C-101B-9397-08002B2CF9AE}" pid="7" name="MSIP_Label_0c9a534a-49dd-43c4-b4e5-f206b4dbf0e4_SiteId">
    <vt:lpwstr>50b6682b-e9dd-4d2c-b984-100e69b077a4</vt:lpwstr>
  </property>
  <property fmtid="{D5CDD505-2E9C-101B-9397-08002B2CF9AE}" pid="8" name="MSIP_Label_0c9a534a-49dd-43c4-b4e5-f206b4dbf0e4_ContentBits">
    <vt:lpwstr>0</vt:lpwstr>
  </property>
</Properties>
</file>