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052D21E8" w:rsidR="003C0362" w:rsidRPr="00D5409B" w:rsidRDefault="009E262F" w:rsidP="00D5409B">
      <w:pPr>
        <w:pStyle w:val="Heading1"/>
        <w:rPr>
          <w:rStyle w:val="IntenseReference"/>
          <w:b w:val="0"/>
          <w:bCs w:val="0"/>
          <w:smallCaps w:val="0"/>
          <w:color w:val="7030A0"/>
          <w:spacing w:val="0"/>
        </w:rPr>
      </w:pPr>
      <w:r>
        <w:rPr>
          <w:rStyle w:val="IntenseReference"/>
          <w:b w:val="0"/>
          <w:bCs w:val="0"/>
          <w:smallCaps w:val="0"/>
          <w:color w:val="7030A0"/>
          <w:spacing w:val="0"/>
        </w:rPr>
        <w:t>Kent</w:t>
      </w:r>
      <w:r w:rsidR="003678A5">
        <w:rPr>
          <w:rStyle w:val="IntenseReference"/>
          <w:b w:val="0"/>
          <w:bCs w:val="0"/>
          <w:smallCaps w:val="0"/>
          <w:color w:val="7030A0"/>
          <w:spacing w:val="0"/>
        </w:rPr>
        <w:t xml:space="preserve"> MAPPA</w:t>
      </w:r>
    </w:p>
    <w:p w14:paraId="3BD9C663" w14:textId="552AA1A1" w:rsidR="009311B4" w:rsidRPr="0069414D" w:rsidRDefault="003678A5" w:rsidP="00233AB5">
      <w:pPr>
        <w:pStyle w:val="Default"/>
        <w:rPr>
          <w:rFonts w:ascii="Arial" w:hAnsi="Arial" w:cs="Arial"/>
          <w:color w:val="7030A0"/>
          <w:sz w:val="68"/>
          <w:szCs w:val="68"/>
        </w:rPr>
      </w:pPr>
      <w:r w:rsidRPr="00AB11A4">
        <w:rPr>
          <w:rFonts w:ascii="Arial" w:hAnsi="Arial" w:cs="Arial"/>
          <w:noProof/>
          <w:color w:val="7030A0"/>
          <w:spacing w:val="-6"/>
          <w:sz w:val="68"/>
          <w:szCs w:val="68"/>
        </w:rPr>
        <w:drawing>
          <wp:inline distT="0" distB="0" distL="0" distR="0" wp14:anchorId="5F87718E" wp14:editId="57A7B152">
            <wp:extent cx="7547317" cy="5322423"/>
            <wp:effectExtent l="0" t="0" r="0" b="0"/>
            <wp:docPr id="5" name="Picture 5" descr="A photo of the white cliffs of Dover along with sea 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hoto of the white cliffs of Dover along with sea scape."/>
                    <pic:cNvPicPr/>
                  </pic:nvPicPr>
                  <pic:blipFill>
                    <a:blip r:embed="rId12"/>
                    <a:stretch>
                      <a:fillRect/>
                    </a:stretch>
                  </pic:blipFill>
                  <pic:spPr>
                    <a:xfrm>
                      <a:off x="0" y="0"/>
                      <a:ext cx="7574336" cy="5341477"/>
                    </a:xfrm>
                    <a:prstGeom prst="rect">
                      <a:avLst/>
                    </a:prstGeom>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53F269CB" w:rsidR="00332EE6" w:rsidRPr="0069414D" w:rsidRDefault="00332EE6" w:rsidP="008D1CDE">
      <w:pPr>
        <w:pStyle w:val="Heading1"/>
        <w:jc w:val="left"/>
      </w:pPr>
      <w:r w:rsidRPr="0069414D">
        <w:lastRenderedPageBreak/>
        <w:t>Intro</w:t>
      </w:r>
      <w:r w:rsidR="003678A5">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613C5739" w14:textId="3480EAE1" w:rsidR="003678A5" w:rsidRDefault="003678A5" w:rsidP="003678A5">
      <w:pPr>
        <w:autoSpaceDE w:val="0"/>
        <w:autoSpaceDN w:val="0"/>
        <w:jc w:val="both"/>
        <w:rPr>
          <w:rFonts w:ascii="Arial" w:hAnsi="Arial" w:cs="Arial"/>
          <w:color w:val="7030A0"/>
          <w:spacing w:val="-6"/>
          <w:sz w:val="28"/>
          <w:szCs w:val="28"/>
        </w:rPr>
      </w:pPr>
      <w:r w:rsidRPr="00AB11A4">
        <w:rPr>
          <w:rFonts w:ascii="Arial" w:hAnsi="Arial" w:cs="Arial"/>
          <w:color w:val="7030A0"/>
          <w:spacing w:val="-6"/>
          <w:sz w:val="28"/>
          <w:szCs w:val="28"/>
        </w:rPr>
        <w:t>We</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are</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pleased</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to</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introduce</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the</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Kent</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MAPPA</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Annual</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Report</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for</w:t>
      </w:r>
      <w:r w:rsidRPr="00AB11A4">
        <w:rPr>
          <w:rFonts w:ascii="Arial" w:hAnsi="Arial" w:cs="Arial"/>
          <w:color w:val="7030A0"/>
          <w:spacing w:val="-6"/>
          <w:sz w:val="20"/>
          <w:szCs w:val="28"/>
        </w:rPr>
        <w:t xml:space="preserve"> </w:t>
      </w:r>
      <w:r w:rsidRPr="00AB11A4">
        <w:rPr>
          <w:rFonts w:ascii="Arial" w:hAnsi="Arial" w:cs="Arial"/>
          <w:color w:val="7030A0"/>
          <w:spacing w:val="-6"/>
          <w:sz w:val="28"/>
          <w:szCs w:val="28"/>
        </w:rPr>
        <w:t>202</w:t>
      </w:r>
      <w:r>
        <w:rPr>
          <w:rFonts w:ascii="Arial" w:hAnsi="Arial" w:cs="Arial"/>
          <w:color w:val="7030A0"/>
          <w:spacing w:val="-6"/>
          <w:sz w:val="28"/>
          <w:szCs w:val="28"/>
        </w:rPr>
        <w:t>2</w:t>
      </w:r>
      <w:r w:rsidRPr="00AB11A4">
        <w:rPr>
          <w:rFonts w:ascii="Arial" w:hAnsi="Arial" w:cs="Arial"/>
          <w:color w:val="7030A0"/>
          <w:spacing w:val="-6"/>
          <w:sz w:val="28"/>
          <w:szCs w:val="28"/>
        </w:rPr>
        <w:t>-202</w:t>
      </w:r>
      <w:r>
        <w:rPr>
          <w:rFonts w:ascii="Arial" w:hAnsi="Arial" w:cs="Arial"/>
          <w:color w:val="7030A0"/>
          <w:spacing w:val="-6"/>
          <w:sz w:val="28"/>
          <w:szCs w:val="28"/>
        </w:rPr>
        <w:t>3</w:t>
      </w:r>
    </w:p>
    <w:p w14:paraId="50BF80B2" w14:textId="77777777" w:rsidR="00D82F60" w:rsidRPr="00AB11A4" w:rsidRDefault="00D82F60" w:rsidP="003678A5">
      <w:pPr>
        <w:autoSpaceDE w:val="0"/>
        <w:autoSpaceDN w:val="0"/>
        <w:jc w:val="both"/>
        <w:rPr>
          <w:rFonts w:ascii="Arial" w:hAnsi="Arial" w:cs="Arial"/>
          <w:color w:val="7030A0"/>
          <w:spacing w:val="-6"/>
          <w:sz w:val="28"/>
          <w:szCs w:val="28"/>
        </w:rPr>
      </w:pPr>
    </w:p>
    <w:p w14:paraId="51BF4938" w14:textId="747942DC" w:rsidR="006C74BA" w:rsidRDefault="006C74BA" w:rsidP="006C74BA">
      <w:pPr>
        <w:autoSpaceDE w:val="0"/>
        <w:autoSpaceDN w:val="0"/>
        <w:jc w:val="both"/>
        <w:rPr>
          <w:rFonts w:ascii="Arial" w:hAnsi="Arial" w:cs="Arial"/>
          <w:color w:val="000000"/>
          <w:spacing w:val="-6"/>
        </w:rPr>
      </w:pPr>
      <w:r>
        <w:rPr>
          <w:rFonts w:ascii="Arial" w:hAnsi="Arial" w:cs="Arial"/>
          <w:color w:val="000000"/>
          <w:spacing w:val="-6"/>
        </w:rPr>
        <w:t>This report is presented on behalf of the</w:t>
      </w:r>
      <w:r>
        <w:rPr>
          <w:rFonts w:ascii="Arial" w:hAnsi="Arial" w:cs="Arial"/>
          <w:color w:val="FF0000"/>
          <w:spacing w:val="-6"/>
        </w:rPr>
        <w:t xml:space="preserve"> </w:t>
      </w:r>
      <w:r>
        <w:rPr>
          <w:rFonts w:ascii="Arial" w:hAnsi="Arial" w:cs="Arial"/>
          <w:spacing w:val="-6"/>
        </w:rPr>
        <w:t xml:space="preserve">Kent </w:t>
      </w:r>
      <w:r>
        <w:rPr>
          <w:rFonts w:ascii="Arial" w:hAnsi="Arial" w:cs="Arial"/>
          <w:color w:val="000000"/>
          <w:spacing w:val="-6"/>
        </w:rPr>
        <w:t>Strategic Management Board, highlighting the performance and practice development of Multi Agency Public Protection Arrangements in Kent.  The role of the Strategic Management Board (SMB) is to provide oversight</w:t>
      </w:r>
      <w:r>
        <w:rPr>
          <w:rFonts w:ascii="Arial" w:hAnsi="Arial" w:cs="Arial"/>
          <w:spacing w:val="-6"/>
        </w:rPr>
        <w:t xml:space="preserve"> and</w:t>
      </w:r>
      <w:r>
        <w:rPr>
          <w:rFonts w:ascii="Arial" w:hAnsi="Arial" w:cs="Arial"/>
          <w:color w:val="000000"/>
          <w:spacing w:val="-6"/>
        </w:rPr>
        <w:t xml:space="preserve"> assurance </w:t>
      </w:r>
      <w:r w:rsidR="008D458F">
        <w:rPr>
          <w:rFonts w:ascii="Arial" w:hAnsi="Arial" w:cs="Arial"/>
          <w:color w:val="000000"/>
          <w:spacing w:val="-6"/>
        </w:rPr>
        <w:t>of</w:t>
      </w:r>
      <w:r>
        <w:rPr>
          <w:rFonts w:ascii="Arial" w:hAnsi="Arial" w:cs="Arial"/>
          <w:color w:val="000000"/>
          <w:spacing w:val="-6"/>
        </w:rPr>
        <w:t xml:space="preserve"> effective public protection arrangements in the county. The SMB is made up of the three Responsible Authorities (RA) who are the Police, </w:t>
      </w:r>
      <w:r w:rsidR="00D82F60">
        <w:rPr>
          <w:rFonts w:ascii="Arial" w:hAnsi="Arial" w:cs="Arial"/>
          <w:color w:val="000000"/>
          <w:spacing w:val="-6"/>
        </w:rPr>
        <w:t>t</w:t>
      </w:r>
      <w:r>
        <w:rPr>
          <w:rFonts w:ascii="Arial" w:hAnsi="Arial" w:cs="Arial"/>
          <w:color w:val="000000"/>
          <w:spacing w:val="-6"/>
        </w:rPr>
        <w:t xml:space="preserve">he Probation Service and the Prison Service.  Alongside the </w:t>
      </w:r>
      <w:r w:rsidR="00D82F60">
        <w:rPr>
          <w:rFonts w:ascii="Arial" w:hAnsi="Arial" w:cs="Arial"/>
          <w:color w:val="000000"/>
          <w:spacing w:val="-6"/>
        </w:rPr>
        <w:t>R</w:t>
      </w:r>
      <w:r>
        <w:rPr>
          <w:rFonts w:ascii="Arial" w:hAnsi="Arial" w:cs="Arial"/>
          <w:color w:val="000000"/>
          <w:spacing w:val="-6"/>
        </w:rPr>
        <w:t xml:space="preserve">esponsible </w:t>
      </w:r>
      <w:r w:rsidR="00D82F60">
        <w:rPr>
          <w:rFonts w:ascii="Arial" w:hAnsi="Arial" w:cs="Arial"/>
          <w:color w:val="000000"/>
          <w:spacing w:val="-6"/>
        </w:rPr>
        <w:t>A</w:t>
      </w:r>
      <w:r>
        <w:rPr>
          <w:rFonts w:ascii="Arial" w:hAnsi="Arial" w:cs="Arial"/>
          <w:color w:val="000000"/>
          <w:spacing w:val="-6"/>
        </w:rPr>
        <w:t xml:space="preserve">uthorities are key Duty to Co-operate agencies (DTC) who include partners from Children and Adult Safeguarding, Youth Offending Services, Health, Department of Work and Pensions, Local Authority Housing and Home Office Immigration Enforcement. The SMB meets three to four times a year to review progress and to assure effective and efficient arrangements are in place to achieve the priority of protecting the public from harm by those subject to MAPP arrangements and to reduce their re-offending. </w:t>
      </w:r>
    </w:p>
    <w:p w14:paraId="3268BA1E" w14:textId="77777777" w:rsidR="006C74BA" w:rsidRDefault="006C74BA" w:rsidP="006C74BA">
      <w:pPr>
        <w:jc w:val="both"/>
        <w:rPr>
          <w:rFonts w:ascii="Arial" w:hAnsi="Arial" w:cs="Arial"/>
          <w:spacing w:val="-6"/>
        </w:rPr>
      </w:pPr>
    </w:p>
    <w:p w14:paraId="76B8E364" w14:textId="6B06F7F7" w:rsidR="006C74BA" w:rsidRDefault="006C74BA" w:rsidP="006C74BA">
      <w:pPr>
        <w:jc w:val="both"/>
        <w:rPr>
          <w:rFonts w:ascii="Arial" w:hAnsi="Arial" w:cs="Arial"/>
          <w:spacing w:val="-6"/>
        </w:rPr>
      </w:pPr>
      <w:r>
        <w:rPr>
          <w:rFonts w:ascii="Arial" w:hAnsi="Arial" w:cs="Arial"/>
          <w:spacing w:val="-6"/>
        </w:rPr>
        <w:t xml:space="preserve">2023 has seen an increased focus on the management of our Level One nominals at all categories.  Each Level One case will have at least one full annual review conducted by a </w:t>
      </w:r>
      <w:r w:rsidR="008D458F">
        <w:rPr>
          <w:rFonts w:ascii="Arial" w:hAnsi="Arial" w:cs="Arial"/>
          <w:spacing w:val="-6"/>
        </w:rPr>
        <w:t>multi-agency</w:t>
      </w:r>
      <w:r>
        <w:rPr>
          <w:rFonts w:ascii="Arial" w:hAnsi="Arial" w:cs="Arial"/>
          <w:spacing w:val="-6"/>
        </w:rPr>
        <w:t xml:space="preserve"> panel.     The review will consider the current risk level, the effectiveness of the risk management plan in place to address those risks and to confirm that the MAPPA Level is appropriate for the risks the case presents and the multi-agency co-ordination required.  </w:t>
      </w:r>
    </w:p>
    <w:p w14:paraId="2DF87302" w14:textId="77777777" w:rsidR="006C74BA" w:rsidRDefault="006C74BA" w:rsidP="006C74BA">
      <w:pPr>
        <w:jc w:val="both"/>
        <w:rPr>
          <w:rFonts w:ascii="Arial" w:hAnsi="Arial" w:cs="Arial"/>
          <w:spacing w:val="-6"/>
        </w:rPr>
      </w:pPr>
    </w:p>
    <w:p w14:paraId="2F60DAFC" w14:textId="77777777" w:rsidR="006C74BA" w:rsidRDefault="006C74BA" w:rsidP="006C74BA">
      <w:pPr>
        <w:jc w:val="both"/>
        <w:rPr>
          <w:rFonts w:ascii="Arial" w:hAnsi="Arial" w:cs="Arial"/>
          <w:spacing w:val="-6"/>
        </w:rPr>
      </w:pPr>
      <w:r>
        <w:rPr>
          <w:rFonts w:ascii="Arial" w:hAnsi="Arial" w:cs="Arial"/>
          <w:spacing w:val="-6"/>
        </w:rPr>
        <w:t xml:space="preserve">In terms of administration, we have rolled out significant changes in how MAPPA operates in Kent during the business year.  We have moved to “standing” panels, in essence meetings that take place on a set day every month of the year for our Level Two and Level Three cases.  This makes it easier for all agencies involved in MAPP activity to plan diaries for the year ahead and promote a continuity of attendance.  </w:t>
      </w:r>
    </w:p>
    <w:p w14:paraId="31BDC56C" w14:textId="77777777" w:rsidR="006C74BA" w:rsidRDefault="006C74BA" w:rsidP="006C74BA">
      <w:pPr>
        <w:jc w:val="both"/>
        <w:rPr>
          <w:rFonts w:ascii="Arial" w:hAnsi="Arial" w:cs="Arial"/>
          <w:spacing w:val="-6"/>
        </w:rPr>
      </w:pPr>
    </w:p>
    <w:p w14:paraId="584B8BD6" w14:textId="49F2AC89" w:rsidR="006C74BA" w:rsidRDefault="006C74BA" w:rsidP="006C74BA">
      <w:pPr>
        <w:jc w:val="both"/>
        <w:rPr>
          <w:rFonts w:ascii="Arial" w:hAnsi="Arial" w:cs="Arial"/>
          <w:spacing w:val="-6"/>
        </w:rPr>
      </w:pPr>
      <w:r>
        <w:rPr>
          <w:rFonts w:ascii="Arial" w:hAnsi="Arial" w:cs="Arial"/>
          <w:spacing w:val="-6"/>
        </w:rPr>
        <w:t>A further development has seen the reduction in time allocated to most case meetings, with the emphasis being on focussing predominantly on the “4 Pillars” of risk management: supervision</w:t>
      </w:r>
      <w:r w:rsidR="008D458F">
        <w:rPr>
          <w:rFonts w:ascii="Arial" w:hAnsi="Arial" w:cs="Arial"/>
          <w:spacing w:val="-6"/>
        </w:rPr>
        <w:t>;</w:t>
      </w:r>
      <w:r>
        <w:rPr>
          <w:rFonts w:ascii="Arial" w:hAnsi="Arial" w:cs="Arial"/>
          <w:spacing w:val="-6"/>
        </w:rPr>
        <w:t xml:space="preserve"> monitoring and control</w:t>
      </w:r>
      <w:r w:rsidR="008D458F">
        <w:rPr>
          <w:rFonts w:ascii="Arial" w:hAnsi="Arial" w:cs="Arial"/>
          <w:spacing w:val="-6"/>
        </w:rPr>
        <w:t>;</w:t>
      </w:r>
      <w:r>
        <w:rPr>
          <w:rFonts w:ascii="Arial" w:hAnsi="Arial" w:cs="Arial"/>
          <w:spacing w:val="-6"/>
        </w:rPr>
        <w:t xml:space="preserve"> interventions and victim safety planning.  </w:t>
      </w:r>
    </w:p>
    <w:p w14:paraId="65407525" w14:textId="77777777" w:rsidR="006C74BA" w:rsidRDefault="006C74BA" w:rsidP="006C74BA">
      <w:pPr>
        <w:jc w:val="both"/>
        <w:rPr>
          <w:rFonts w:ascii="Arial" w:hAnsi="Arial" w:cs="Arial"/>
          <w:spacing w:val="-6"/>
        </w:rPr>
      </w:pPr>
    </w:p>
    <w:p w14:paraId="74DAF590" w14:textId="77777777" w:rsidR="006C74BA" w:rsidRDefault="006C74BA" w:rsidP="006C74BA">
      <w:pPr>
        <w:jc w:val="both"/>
        <w:rPr>
          <w:rFonts w:ascii="Arial" w:hAnsi="Arial" w:cs="Arial"/>
          <w:spacing w:val="-6"/>
        </w:rPr>
      </w:pPr>
      <w:r>
        <w:rPr>
          <w:rFonts w:ascii="Arial" w:hAnsi="Arial" w:cs="Arial"/>
          <w:spacing w:val="-6"/>
        </w:rPr>
        <w:t xml:space="preserve">We have further developed our screening process for referrals into MAPPA in the light of the updated thresholding guidance.  This allows for a consistency of application of the criteria for a case to reach Level Two or Three.  The screening process is in turn further assured by a quarterly quality assurance panel that reviews a sample of screening thresholding decisions.  </w:t>
      </w:r>
    </w:p>
    <w:p w14:paraId="0F0B8F73" w14:textId="77777777" w:rsidR="006C74BA" w:rsidRDefault="006C74BA" w:rsidP="006C74BA">
      <w:pPr>
        <w:jc w:val="both"/>
        <w:rPr>
          <w:rFonts w:ascii="Arial" w:hAnsi="Arial" w:cs="Arial"/>
          <w:spacing w:val="-6"/>
        </w:rPr>
      </w:pPr>
    </w:p>
    <w:p w14:paraId="498AE540" w14:textId="77777777" w:rsidR="006C74BA" w:rsidRDefault="006C74BA" w:rsidP="006C74BA">
      <w:pPr>
        <w:jc w:val="both"/>
        <w:rPr>
          <w:rFonts w:ascii="Arial" w:hAnsi="Arial" w:cs="Arial"/>
          <w:spacing w:val="-6"/>
        </w:rPr>
      </w:pPr>
      <w:r>
        <w:rPr>
          <w:rFonts w:ascii="Arial" w:hAnsi="Arial" w:cs="Arial"/>
          <w:spacing w:val="-6"/>
        </w:rPr>
        <w:t>Since the Covid pandemic, scheduled MAPPA meetings have continued to be held through a secure conferencing platform. This supports greater efficiency by reducing agency travel and promotes good levels of agency attendance.  There are no plans to change this working practice.</w:t>
      </w:r>
    </w:p>
    <w:p w14:paraId="7089A41C" w14:textId="77777777" w:rsidR="006C74BA" w:rsidRDefault="006C74BA" w:rsidP="006C74BA">
      <w:pPr>
        <w:jc w:val="both"/>
        <w:rPr>
          <w:rFonts w:ascii="Arial" w:hAnsi="Arial" w:cs="Arial"/>
          <w:spacing w:val="-6"/>
        </w:rPr>
      </w:pPr>
    </w:p>
    <w:p w14:paraId="6B69BA88" w14:textId="77777777" w:rsidR="006C74BA" w:rsidRDefault="006C74BA" w:rsidP="006C74BA">
      <w:pPr>
        <w:jc w:val="both"/>
        <w:rPr>
          <w:rFonts w:ascii="Arial" w:hAnsi="Arial" w:cs="Arial"/>
          <w:spacing w:val="-6"/>
        </w:rPr>
      </w:pPr>
      <w:r>
        <w:rPr>
          <w:rFonts w:ascii="Arial" w:hAnsi="Arial" w:cs="Arial"/>
          <w:spacing w:val="-6"/>
        </w:rPr>
        <w:t xml:space="preserve">As we observed last year, we continue to see offenders who fall within the remit of the MAPP arrangements who present with complex needs such as accommodation, mental health, and economic issues. Our DTC agencies in Kent work collaboratively as part of the SMB to implement strategies to support other agencies involved in this work and resolve issues at a local level. </w:t>
      </w:r>
    </w:p>
    <w:p w14:paraId="5225F70E" w14:textId="77777777" w:rsidR="006C74BA" w:rsidRDefault="006C74BA" w:rsidP="006C74BA">
      <w:pPr>
        <w:jc w:val="both"/>
        <w:rPr>
          <w:rFonts w:ascii="Arial" w:hAnsi="Arial" w:cs="Arial"/>
          <w:spacing w:val="-6"/>
        </w:rPr>
      </w:pPr>
    </w:p>
    <w:p w14:paraId="1583B379" w14:textId="77777777" w:rsidR="006C74BA" w:rsidRDefault="006C74BA" w:rsidP="006C74BA">
      <w:pPr>
        <w:jc w:val="both"/>
        <w:rPr>
          <w:rFonts w:ascii="Arial" w:hAnsi="Arial" w:cs="Arial"/>
          <w:spacing w:val="-6"/>
        </w:rPr>
      </w:pPr>
      <w:r>
        <w:rPr>
          <w:rFonts w:ascii="Arial" w:hAnsi="Arial" w:cs="Arial"/>
          <w:spacing w:val="-6"/>
        </w:rPr>
        <w:t xml:space="preserve">Alongside the complexity, we have a significant number of individuals falling under MAPPA arrangements in Kent, with a caseload exceeding over 2700 at the end of March 2023.  These high numbers have implications for the workloads of practitioners in all RA and DTC agencies, which clearly can have implications for MAPPA in regard to the timeliness of referrals. </w:t>
      </w:r>
    </w:p>
    <w:p w14:paraId="7888E532" w14:textId="77777777" w:rsidR="006C74BA" w:rsidRDefault="006C74BA" w:rsidP="006C74BA">
      <w:pPr>
        <w:jc w:val="both"/>
        <w:rPr>
          <w:rFonts w:ascii="Arial" w:hAnsi="Arial" w:cs="Arial"/>
          <w:spacing w:val="-6"/>
        </w:rPr>
      </w:pPr>
    </w:p>
    <w:p w14:paraId="36CDB0DE" w14:textId="7759D161" w:rsidR="006C74BA" w:rsidRDefault="006C74BA" w:rsidP="006C74BA">
      <w:pPr>
        <w:jc w:val="both"/>
        <w:rPr>
          <w:rFonts w:ascii="Arial" w:hAnsi="Arial" w:cs="Arial"/>
          <w:spacing w:val="-6"/>
        </w:rPr>
      </w:pPr>
      <w:r>
        <w:rPr>
          <w:rFonts w:ascii="Arial" w:hAnsi="Arial" w:cs="Arial"/>
          <w:spacing w:val="-6"/>
        </w:rPr>
        <w:t xml:space="preserve">As we look ahead to the next business year, our priority will be to continue to further develop the quality of our work, including timeliness, so that the public of Kent can continue to be assured of high-quality arrangements being in place to protect the public from serious harm. </w:t>
      </w:r>
    </w:p>
    <w:p w14:paraId="62B4C59B" w14:textId="44BF33C2" w:rsidR="00332EE6" w:rsidRPr="008D458F" w:rsidRDefault="00332EE6" w:rsidP="008D458F">
      <w:pPr>
        <w:pStyle w:val="MAPPA-Bodytext"/>
        <w:rPr>
          <w:lang w:val="en-GB"/>
        </w:rPr>
        <w:sectPr w:rsidR="00332EE6" w:rsidRPr="008D458F" w:rsidSect="00867C9E">
          <w:type w:val="continuous"/>
          <w:pgSz w:w="11905" w:h="16837" w:code="9"/>
          <w:pgMar w:top="720" w:right="720" w:bottom="720" w:left="720" w:header="720" w:footer="567" w:gutter="0"/>
          <w:cols w:num="2" w:space="720"/>
          <w:noEndnote/>
          <w:rtlGutter/>
        </w:sect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7D7F0DD2"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 xml:space="preserve">–subject to sex offender notification </w:t>
      </w:r>
      <w:r w:rsidR="000E2531" w:rsidRPr="00206B09">
        <w:rPr>
          <w:sz w:val="24"/>
          <w:szCs w:val="24"/>
          <w:lang w:val="en-GB"/>
        </w:rPr>
        <w:t>requirements.</w:t>
      </w:r>
      <w:r w:rsidRPr="00206B09">
        <w:rPr>
          <w:sz w:val="24"/>
          <w:szCs w:val="24"/>
          <w:lang w:val="en-GB"/>
        </w:rPr>
        <w:t xml:space="preserve"> </w:t>
      </w:r>
    </w:p>
    <w:p w14:paraId="2314424F" w14:textId="59720601"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w:t>
      </w:r>
      <w:r w:rsidR="000E2531" w:rsidRPr="00206B09">
        <w:rPr>
          <w:sz w:val="24"/>
          <w:szCs w:val="24"/>
          <w:lang w:val="en-GB"/>
        </w:rPr>
        <w:t>order.</w:t>
      </w:r>
      <w:r w:rsidRPr="00206B09">
        <w:rPr>
          <w:sz w:val="24"/>
          <w:szCs w:val="24"/>
          <w:lang w:val="en-GB"/>
        </w:rPr>
        <w:t xml:space="preserve">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132B4666"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0E2531">
        <w:rPr>
          <w:bCs/>
          <w:sz w:val="24"/>
          <w:szCs w:val="24"/>
          <w:lang w:val="en-GB"/>
        </w:rPr>
        <w:t>individuals.</w:t>
      </w:r>
    </w:p>
    <w:p w14:paraId="58B91A60" w14:textId="6A7A7355"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w:t>
      </w:r>
      <w:r w:rsidR="000E2531" w:rsidRPr="00206B09">
        <w:rPr>
          <w:sz w:val="24"/>
          <w:szCs w:val="24"/>
          <w:lang w:val="en-GB"/>
        </w:rPr>
        <w:t>needed:</w:t>
      </w:r>
      <w:r w:rsidRPr="00206B09">
        <w:rPr>
          <w:sz w:val="24"/>
          <w:szCs w:val="24"/>
          <w:lang w:val="en-GB"/>
        </w:rPr>
        <w:t xml:space="preserve"> </w:t>
      </w:r>
      <w:r w:rsidR="000E2531" w:rsidRPr="00206B09">
        <w:rPr>
          <w:sz w:val="24"/>
          <w:szCs w:val="24"/>
          <w:lang w:val="en-GB"/>
        </w:rPr>
        <w:t>generally,</w:t>
      </w:r>
      <w:r w:rsidRPr="00206B09">
        <w:rPr>
          <w:sz w:val="24"/>
          <w:szCs w:val="24"/>
          <w:lang w:val="en-GB"/>
        </w:rPr>
        <w:t xml:space="preserve"> those </w:t>
      </w:r>
      <w:r w:rsidR="00912A31" w:rsidRPr="00206B09">
        <w:rPr>
          <w:sz w:val="24"/>
          <w:szCs w:val="24"/>
          <w:lang w:val="en-GB"/>
        </w:rPr>
        <w:t>presenting</w:t>
      </w:r>
      <w:r w:rsidRPr="00206B09">
        <w:rPr>
          <w:sz w:val="24"/>
          <w:szCs w:val="24"/>
          <w:lang w:val="en-GB"/>
        </w:rPr>
        <w:t xml:space="preserve"> the higher risks of serious harm. </w:t>
      </w:r>
    </w:p>
    <w:p w14:paraId="5035BE00" w14:textId="04F0C2AE"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w:t>
      </w:r>
      <w:r w:rsidR="000E2531" w:rsidRPr="00206B09">
        <w:rPr>
          <w:sz w:val="24"/>
          <w:szCs w:val="24"/>
          <w:lang w:val="en-GB"/>
        </w:rPr>
        <w:t>meetings.</w:t>
      </w:r>
      <w:r w:rsidRPr="00206B09">
        <w:rPr>
          <w:sz w:val="24"/>
          <w:szCs w:val="24"/>
          <w:lang w:val="en-GB"/>
        </w:rPr>
        <w:t xml:space="preserve">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10CE2A79"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0E2531" w:rsidRPr="00206B09">
        <w:rPr>
          <w:sz w:val="24"/>
          <w:szCs w:val="24"/>
          <w:lang w:val="en-GB"/>
        </w:rPr>
        <w:t>Counterterrorism</w:t>
      </w:r>
      <w:r w:rsidR="00C242F2" w:rsidRPr="00206B09">
        <w:rPr>
          <w:sz w:val="24"/>
          <w:szCs w:val="24"/>
          <w:lang w:val="en-GB"/>
        </w:rPr>
        <w:t xml:space="preserve"> and Sentencing Act 2021 </w:t>
      </w:r>
      <w:r w:rsidR="00C242F2" w:rsidRPr="00206B09">
        <w:rPr>
          <w:sz w:val="24"/>
          <w:szCs w:val="24"/>
          <w:lang w:val="en-GB"/>
        </w:rPr>
        <w:t xml:space="preserve">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13FC3644"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1945</w:t>
            </w:r>
          </w:p>
        </w:tc>
        <w:tc>
          <w:tcPr>
            <w:tcW w:w="2186" w:type="dxa"/>
          </w:tcPr>
          <w:p w14:paraId="1638E0FC" w14:textId="64DF9C5D"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735</w:t>
            </w:r>
          </w:p>
        </w:tc>
        <w:tc>
          <w:tcPr>
            <w:tcW w:w="2186" w:type="dxa"/>
          </w:tcPr>
          <w:p w14:paraId="1F1BCFAF" w14:textId="4BF41D7D"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08FB1F87" w14:textId="68B149B6"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2680</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4DBA968F"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10F8D0CE" w14:textId="717E7685"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346F3891" w14:textId="6F1C1555"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w:t>
            </w:r>
          </w:p>
        </w:tc>
        <w:tc>
          <w:tcPr>
            <w:tcW w:w="2186" w:type="dxa"/>
          </w:tcPr>
          <w:p w14:paraId="29D9E254" w14:textId="7D72BA46"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23</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0A2ECD36"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6751848" w14:textId="1B95CB3F"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5314FEE" w14:textId="236B3E50"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FD44C20" w14:textId="3560F928"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608B5824"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1953</w:t>
            </w:r>
          </w:p>
        </w:tc>
        <w:tc>
          <w:tcPr>
            <w:tcW w:w="2186" w:type="dxa"/>
          </w:tcPr>
          <w:p w14:paraId="4B320A3C" w14:textId="59FCA288"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743</w:t>
            </w:r>
          </w:p>
        </w:tc>
        <w:tc>
          <w:tcPr>
            <w:tcW w:w="2186" w:type="dxa"/>
          </w:tcPr>
          <w:p w14:paraId="59BF82DA" w14:textId="5FA56A97"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w:t>
            </w:r>
          </w:p>
        </w:tc>
        <w:tc>
          <w:tcPr>
            <w:tcW w:w="2186" w:type="dxa"/>
          </w:tcPr>
          <w:p w14:paraId="230BC3FB" w14:textId="75EC2D75" w:rsidR="006F27F5"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2706</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03F80FDA"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33</w:t>
            </w:r>
          </w:p>
        </w:tc>
        <w:tc>
          <w:tcPr>
            <w:tcW w:w="2186" w:type="dxa"/>
          </w:tcPr>
          <w:p w14:paraId="231D96FE" w14:textId="1BCC346D"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20</w:t>
            </w:r>
          </w:p>
        </w:tc>
        <w:tc>
          <w:tcPr>
            <w:tcW w:w="2186" w:type="dxa"/>
          </w:tcPr>
          <w:p w14:paraId="413645CC" w14:textId="6A3034A9"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21</w:t>
            </w:r>
          </w:p>
        </w:tc>
        <w:tc>
          <w:tcPr>
            <w:tcW w:w="2186" w:type="dxa"/>
          </w:tcPr>
          <w:p w14:paraId="5A206D70" w14:textId="15E80888"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74</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5E84D830"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4AF1F0B4" w14:textId="04040CD9"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3EABFC56" w14:textId="566133ED"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66FC4C00" w14:textId="019BFB3D"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61E43396"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38</w:t>
            </w:r>
          </w:p>
        </w:tc>
        <w:tc>
          <w:tcPr>
            <w:tcW w:w="2186" w:type="dxa"/>
          </w:tcPr>
          <w:p w14:paraId="5D543B3B" w14:textId="47BD196F"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21</w:t>
            </w:r>
          </w:p>
        </w:tc>
        <w:tc>
          <w:tcPr>
            <w:tcW w:w="2186" w:type="dxa"/>
          </w:tcPr>
          <w:p w14:paraId="03713ACD" w14:textId="4AE1E45C"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24</w:t>
            </w:r>
          </w:p>
        </w:tc>
        <w:tc>
          <w:tcPr>
            <w:tcW w:w="2186" w:type="dxa"/>
          </w:tcPr>
          <w:p w14:paraId="29E98152" w14:textId="5F91DAB9" w:rsidR="00AA3E8E" w:rsidRPr="00523CF4" w:rsidRDefault="00A246E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83</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6091FB4D" w:rsidR="00332EE6"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44</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6FC985AE" w:rsidR="00332EE6" w:rsidRPr="00523CF4"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14</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766CD2CE" w:rsidR="00A231D9" w:rsidRPr="00523CF4" w:rsidRDefault="00A246EF"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151</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47E02C56" w:rsidR="00A231D9" w:rsidRPr="00523CF4" w:rsidRDefault="00A246EF"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07B43ACA" w:rsidR="00A231D9" w:rsidRPr="00523CF4" w:rsidRDefault="00A246EF"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53</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9"/>
        <w:gridCol w:w="2086"/>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77777777" w:rsidR="00332EE6" w:rsidRPr="00523CF4" w:rsidRDefault="00332EE6"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28400BC2" w:rsidR="00AA3E8E" w:rsidRPr="00523CF4" w:rsidRDefault="00A246EF"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34F9E68F" w14:textId="4992764C" w:rsidR="00AA3E8E" w:rsidRPr="00523CF4" w:rsidRDefault="00A246EF"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12</w:t>
            </w:r>
          </w:p>
        </w:tc>
        <w:tc>
          <w:tcPr>
            <w:tcW w:w="2186" w:type="dxa"/>
          </w:tcPr>
          <w:p w14:paraId="720ECB5F" w14:textId="12D11455" w:rsidR="00AA3E8E" w:rsidRPr="00523CF4" w:rsidRDefault="00A246EF"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4AF2B58E" w:rsidR="00AA3E8E" w:rsidRPr="00523CF4" w:rsidRDefault="00A246EF" w:rsidP="00B06F75">
            <w:pPr>
              <w:pStyle w:val="MAPPA-Tabletext"/>
              <w:jc w:val="right"/>
              <w:rPr>
                <w:b w:val="0"/>
                <w:bCs w:val="0"/>
                <w:sz w:val="24"/>
                <w:szCs w:val="24"/>
                <w:lang w:val="en-GB"/>
              </w:rPr>
            </w:pPr>
            <w:r>
              <w:rPr>
                <w:b w:val="0"/>
                <w:bCs w:val="0"/>
                <w:sz w:val="24"/>
                <w:szCs w:val="24"/>
                <w:lang w:val="en-GB"/>
              </w:rPr>
              <w:t>23</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5C2BD9BB" w:rsidR="00AA3E8E" w:rsidRPr="00523CF4" w:rsidRDefault="00A246EF"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272FF4F7" w14:textId="194CD046" w:rsidR="00AA3E8E" w:rsidRPr="00523CF4" w:rsidRDefault="00A246EF"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D55EA6" w14:textId="32DED224" w:rsidR="00AA3E8E" w:rsidRPr="00523CF4" w:rsidRDefault="00A246EF"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29307836" w:rsidR="00AA3E8E" w:rsidRPr="00523CF4" w:rsidRDefault="00A246EF" w:rsidP="00B06F75">
            <w:pPr>
              <w:pStyle w:val="MAPPA-Tabletext"/>
              <w:jc w:val="right"/>
              <w:rPr>
                <w:b w:val="0"/>
                <w:bCs w:val="0"/>
                <w:sz w:val="24"/>
                <w:szCs w:val="24"/>
                <w:lang w:val="en-GB"/>
              </w:rPr>
            </w:pPr>
            <w:r>
              <w:rPr>
                <w:b w:val="0"/>
                <w:bCs w:val="0"/>
                <w:sz w:val="24"/>
                <w:szCs w:val="24"/>
                <w:lang w:val="en-GB"/>
              </w:rPr>
              <w:t>5</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43806DE2" w:rsidR="00AA3E8E" w:rsidRPr="00523CF4" w:rsidRDefault="00A246EF"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7</w:t>
            </w:r>
          </w:p>
        </w:tc>
        <w:tc>
          <w:tcPr>
            <w:tcW w:w="2186" w:type="dxa"/>
          </w:tcPr>
          <w:p w14:paraId="184256C5" w14:textId="0D4EA2FA" w:rsidR="00AA3E8E" w:rsidRPr="00523CF4" w:rsidRDefault="00A246EF"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12</w:t>
            </w:r>
          </w:p>
        </w:tc>
        <w:tc>
          <w:tcPr>
            <w:tcW w:w="2186" w:type="dxa"/>
          </w:tcPr>
          <w:p w14:paraId="44078787" w14:textId="1CCF0845" w:rsidR="00AA3E8E" w:rsidRPr="00523CF4" w:rsidRDefault="00A246EF"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9</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4FD2F4C0" w:rsidR="00AA3E8E" w:rsidRPr="00523CF4" w:rsidRDefault="00A246EF" w:rsidP="00B06F75">
            <w:pPr>
              <w:pStyle w:val="MAPPA-Tabletext"/>
              <w:jc w:val="right"/>
              <w:rPr>
                <w:b w:val="0"/>
                <w:bCs w:val="0"/>
                <w:sz w:val="24"/>
                <w:szCs w:val="24"/>
                <w:lang w:val="en-GB"/>
              </w:rPr>
            </w:pPr>
            <w:r>
              <w:rPr>
                <w:b w:val="0"/>
                <w:bCs w:val="0"/>
                <w:sz w:val="24"/>
                <w:szCs w:val="24"/>
                <w:lang w:val="en-GB"/>
              </w:rPr>
              <w:t>28</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6B044BD4" w:rsidR="00FA3513" w:rsidRPr="00523CF4" w:rsidRDefault="00A246EF"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1EDDFB4E" w:rsidR="00FA3513" w:rsidRPr="00523CF4" w:rsidRDefault="00A246EF"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44FE9968" w:rsidR="00FA3513" w:rsidRPr="00523CF4" w:rsidRDefault="00A246EF" w:rsidP="00316362">
            <w:pPr>
              <w:pStyle w:val="MAPPA-Tabletext"/>
              <w:jc w:val="right"/>
              <w:rPr>
                <w:b w:val="0"/>
                <w:bCs w:val="0"/>
                <w:sz w:val="24"/>
                <w:szCs w:val="24"/>
                <w:lang w:val="en-GB"/>
              </w:rPr>
            </w:pPr>
            <w:r>
              <w:rPr>
                <w:b w:val="0"/>
                <w:bCs w:val="0"/>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75842B94" w:rsidR="00332EE6" w:rsidRPr="004265C9" w:rsidRDefault="00A246EF"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119</w:t>
            </w:r>
          </w:p>
        </w:tc>
      </w:tr>
    </w:tbl>
    <w:p w14:paraId="07E10B6F" w14:textId="77777777" w:rsidR="00332EE6" w:rsidRPr="001F3FB5" w:rsidRDefault="00332EE6" w:rsidP="00332EE6">
      <w:pPr>
        <w:rPr>
          <w:rFonts w:ascii="Arial" w:hAnsi="Arial" w:cs="Arial"/>
          <w:sz w:val="20"/>
          <w:szCs w:val="20"/>
        </w:rPr>
      </w:pPr>
    </w:p>
    <w:p w14:paraId="6E3F4E29" w14:textId="7E64411E" w:rsidR="009E262F" w:rsidRPr="009E262F" w:rsidRDefault="009E262F" w:rsidP="009E262F">
      <w:pPr>
        <w:rPr>
          <w:rFonts w:ascii="Arial" w:hAnsi="Arial" w:cs="Arial"/>
        </w:rPr>
      </w:pPr>
      <w:r w:rsidRPr="009E262F">
        <w:rPr>
          <w:rFonts w:ascii="Arial" w:hAnsi="Arial" w:cs="Arial"/>
        </w:rPr>
        <w:t>This figure has been calculated using the mid-2021 estimated resident population, published by the Office for National Statistics (ONS) on 21 December 202</w:t>
      </w:r>
      <w:r w:rsidR="0036576F">
        <w:rPr>
          <w:rFonts w:ascii="Arial" w:hAnsi="Arial" w:cs="Arial"/>
        </w:rPr>
        <w:t>2</w:t>
      </w:r>
      <w:r w:rsidRPr="009E262F">
        <w:rPr>
          <w:rFonts w:ascii="Arial" w:hAnsi="Arial" w:cs="Arial"/>
        </w:rPr>
        <w:t xml:space="preserve">, excluding those aged less than ten years of age. </w:t>
      </w:r>
    </w:p>
    <w:p w14:paraId="0DA673E8" w14:textId="77777777" w:rsidR="009E262F" w:rsidRPr="009E262F" w:rsidRDefault="009E262F" w:rsidP="009E262F">
      <w:pPr>
        <w:rPr>
          <w:rFonts w:ascii="Arial" w:hAnsi="Arial" w:cs="Arial"/>
        </w:rPr>
      </w:pPr>
    </w:p>
    <w:p w14:paraId="1F11D471" w14:textId="0C1374F1" w:rsidR="00542928" w:rsidRPr="009E262F" w:rsidRDefault="009E262F" w:rsidP="00542928">
      <w:pPr>
        <w:rPr>
          <w:rFonts w:ascii="Arial" w:hAnsi="Arial" w:cs="Arial"/>
        </w:rPr>
        <w:sectPr w:rsidR="00542928" w:rsidRPr="009E262F" w:rsidSect="009B7898">
          <w:pgSz w:w="11905" w:h="16837" w:code="9"/>
          <w:pgMar w:top="720" w:right="720" w:bottom="720" w:left="720" w:header="720" w:footer="567" w:gutter="0"/>
          <w:cols w:space="720"/>
          <w:noEndnote/>
        </w:sectPr>
      </w:pPr>
      <w:r w:rsidRPr="009E262F">
        <w:rPr>
          <w:rFonts w:ascii="Arial" w:hAnsi="Arial" w:cs="Arial"/>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A0FB4EB" w14:textId="77777777" w:rsidR="00332EE6" w:rsidRPr="0069414D" w:rsidRDefault="00332EE6" w:rsidP="00296A85">
      <w:pPr>
        <w:pStyle w:val="Heading1"/>
        <w:jc w:val="left"/>
      </w:pPr>
      <w:r w:rsidRPr="0069414D">
        <w:lastRenderedPageBreak/>
        <w:t>Explanation commentary on statistical tables</w:t>
      </w:r>
    </w:p>
    <w:p w14:paraId="6F987205" w14:textId="77777777" w:rsidR="00332EE6" w:rsidRPr="006A45B8" w:rsidRDefault="00332EE6" w:rsidP="00296A85">
      <w:pPr>
        <w:pStyle w:val="Style1"/>
      </w:pPr>
      <w:r w:rsidRPr="006A45B8">
        <w:t>MAPPA background</w:t>
      </w:r>
    </w:p>
    <w:p w14:paraId="465B1916" w14:textId="2FAC5069"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w:t>
      </w:r>
      <w:r w:rsidR="00A246EF" w:rsidRPr="00B510E5">
        <w:rPr>
          <w:sz w:val="24"/>
          <w:szCs w:val="24"/>
          <w:lang w:val="en-GB"/>
        </w:rPr>
        <w:t>i.e.,</w:t>
      </w:r>
      <w:r w:rsidRPr="00B510E5">
        <w:rPr>
          <w:sz w:val="24"/>
          <w:szCs w:val="24"/>
          <w:lang w:val="en-GB"/>
        </w:rPr>
        <w:t xml:space="preserv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5F50A3B0"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w:t>
      </w:r>
      <w:r w:rsidR="00A246EF" w:rsidRPr="00B510E5">
        <w:rPr>
          <w:sz w:val="24"/>
          <w:szCs w:val="24"/>
          <w:lang w:val="en-GB"/>
        </w:rPr>
        <w:t>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02D39C79"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w:t>
      </w:r>
      <w:r w:rsidR="00A246EF" w:rsidRPr="00B510E5">
        <w:rPr>
          <w:sz w:val="24"/>
          <w:szCs w:val="24"/>
          <w:lang w:val="en-GB"/>
        </w:rPr>
        <w:t>address,</w:t>
      </w:r>
      <w:r w:rsidRPr="00B510E5">
        <w:rPr>
          <w:sz w:val="24"/>
          <w:szCs w:val="24"/>
          <w:lang w:val="en-GB"/>
        </w:rPr>
        <w:t xml:space="preserve">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DCD0170"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Service, Youth Offending </w:t>
      </w:r>
      <w:r w:rsidR="00A246EF" w:rsidRPr="00B510E5">
        <w:rPr>
          <w:sz w:val="24"/>
          <w:szCs w:val="24"/>
          <w:lang w:val="en-GB"/>
        </w:rPr>
        <w:t>Team,</w:t>
      </w:r>
      <w:r w:rsidR="00786A3A" w:rsidRPr="00B510E5">
        <w:rPr>
          <w:sz w:val="24"/>
          <w:szCs w:val="24"/>
          <w:lang w:val="en-GB"/>
        </w:rPr>
        <w:t xml:space="preserve"> or Mental Health Services. </w:t>
      </w:r>
    </w:p>
    <w:p w14:paraId="2317CEAB" w14:textId="45E39AE9"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w:t>
      </w:r>
      <w:r w:rsidR="00A246EF" w:rsidRPr="00B510E5">
        <w:rPr>
          <w:sz w:val="24"/>
          <w:szCs w:val="24"/>
          <w:lang w:val="en-GB"/>
        </w:rPr>
        <w:t>categories but</w:t>
      </w:r>
      <w:r w:rsidRPr="00B510E5">
        <w:rPr>
          <w:sz w:val="24"/>
          <w:szCs w:val="24"/>
          <w:lang w:val="en-GB"/>
        </w:rPr>
        <w:t xml:space="preserve">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60340D83"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w:t>
      </w:r>
      <w:r w:rsidR="00A246EF" w:rsidRPr="00B510E5">
        <w:rPr>
          <w:sz w:val="24"/>
          <w:szCs w:val="24"/>
          <w:lang w:val="en-GB"/>
        </w:rPr>
        <w:t>more or</w:t>
      </w:r>
      <w:r w:rsidR="00575CC8" w:rsidRPr="00B510E5">
        <w:rPr>
          <w:sz w:val="24"/>
          <w:szCs w:val="24"/>
          <w:lang w:val="en-GB"/>
        </w:rPr>
        <w:t xml:space="preserve">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w:t>
      </w:r>
      <w:r w:rsidRPr="00B510E5">
        <w:rPr>
          <w:sz w:val="24"/>
          <w:szCs w:val="24"/>
          <w:lang w:val="en-GB"/>
        </w:rPr>
        <w:lastRenderedPageBreak/>
        <w:t xml:space="preserve">or violent offence who pose a risk 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73525E3B"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w:t>
      </w:r>
      <w:r w:rsidR="00A246EF" w:rsidRPr="00B510E5">
        <w:rPr>
          <w:sz w:val="24"/>
          <w:szCs w:val="24"/>
          <w:lang w:val="en-GB"/>
        </w:rPr>
        <w:t>free-standing</w:t>
      </w:r>
      <w:r w:rsidRPr="00B510E5">
        <w:rPr>
          <w:sz w:val="24"/>
          <w:szCs w:val="24"/>
          <w:lang w:val="en-GB"/>
        </w:rPr>
        <w:t xml:space="preserve">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4E3F6FB9" w:rsidR="00332EE6" w:rsidRPr="00B510E5" w:rsidRDefault="00332EE6" w:rsidP="00B510E5">
      <w:pPr>
        <w:pStyle w:val="Default"/>
        <w:spacing w:after="240" w:line="260" w:lineRule="exact"/>
        <w:rPr>
          <w:rFonts w:ascii="Arial" w:hAnsi="Arial" w:cs="Arial"/>
        </w:rPr>
      </w:pPr>
      <w:r w:rsidRPr="00B510E5">
        <w:rPr>
          <w:rFonts w:ascii="Arial" w:hAnsi="Arial" w:cs="Arial"/>
        </w:rPr>
        <w:t xml:space="preserve">The criminal standard of proof continues to apply. The person concerned is able to appeal against the making of the order and the police or the person concerned are able to apply for the order to be varied, </w:t>
      </w:r>
      <w:r w:rsidR="00A246EF" w:rsidRPr="00B510E5">
        <w:rPr>
          <w:rFonts w:ascii="Arial" w:hAnsi="Arial" w:cs="Arial"/>
        </w:rPr>
        <w:t>renewed,</w:t>
      </w:r>
      <w:r w:rsidRPr="00B510E5">
        <w:rPr>
          <w:rFonts w:ascii="Arial" w:hAnsi="Arial" w:cs="Arial"/>
        </w:rPr>
        <w:t xml:space="preserve">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lastRenderedPageBreak/>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3E511D06" w14:textId="77777777" w:rsidR="00332EE6" w:rsidRPr="00B510E5" w:rsidRDefault="00332EE6" w:rsidP="00B510E5">
      <w:pPr>
        <w:pStyle w:val="MAPPA-Bodytext"/>
        <w:rPr>
          <w:sz w:val="24"/>
          <w:szCs w:val="24"/>
          <w:lang w:val="en-GB"/>
        </w:rPr>
      </w:pPr>
    </w:p>
    <w:p w14:paraId="7E9ED5F4" w14:textId="3A1194BA" w:rsidR="00332EE6" w:rsidRDefault="00332EE6" w:rsidP="00332EE6">
      <w:pPr>
        <w:pStyle w:val="MAPPA-Bodytext"/>
        <w:rPr>
          <w:szCs w:val="28"/>
          <w:lang w:val="en-GB"/>
        </w:rPr>
      </w:pPr>
    </w:p>
    <w:p w14:paraId="4F8363DC" w14:textId="7E9AC2EA" w:rsidR="005531F5" w:rsidRDefault="005531F5" w:rsidP="00332EE6">
      <w:pPr>
        <w:pStyle w:val="MAPPA-Bodytext"/>
        <w:rPr>
          <w:szCs w:val="28"/>
          <w:lang w:val="en-GB"/>
        </w:rPr>
      </w:pPr>
    </w:p>
    <w:p w14:paraId="12347C9A" w14:textId="029CE183" w:rsidR="005531F5" w:rsidRDefault="005531F5" w:rsidP="00332EE6">
      <w:pPr>
        <w:pStyle w:val="MAPPA-Bodytext"/>
        <w:rPr>
          <w:szCs w:val="28"/>
          <w:lang w:val="en-GB"/>
        </w:rPr>
      </w:pPr>
    </w:p>
    <w:p w14:paraId="57840F98" w14:textId="00570C1F" w:rsidR="005531F5" w:rsidRDefault="005531F5" w:rsidP="00332EE6">
      <w:pPr>
        <w:pStyle w:val="MAPPA-Bodytext"/>
        <w:rPr>
          <w:szCs w:val="28"/>
          <w:lang w:val="en-GB"/>
        </w:rPr>
      </w:pPr>
    </w:p>
    <w:p w14:paraId="2678B9D6" w14:textId="007DFF8B" w:rsidR="005531F5" w:rsidRDefault="005531F5" w:rsidP="00332EE6">
      <w:pPr>
        <w:pStyle w:val="MAPPA-Bodytext"/>
        <w:rPr>
          <w:szCs w:val="28"/>
          <w:lang w:val="en-GB"/>
        </w:rPr>
      </w:pPr>
    </w:p>
    <w:p w14:paraId="7CC12D37" w14:textId="19F0A041" w:rsidR="005531F5" w:rsidRDefault="005531F5" w:rsidP="00332EE6">
      <w:pPr>
        <w:pStyle w:val="MAPPA-Bodytext"/>
        <w:rPr>
          <w:szCs w:val="28"/>
          <w:lang w:val="en-GB"/>
        </w:rPr>
      </w:pPr>
    </w:p>
    <w:p w14:paraId="3F4093A3" w14:textId="2B6CACA2" w:rsidR="005531F5" w:rsidRDefault="005531F5" w:rsidP="00332EE6">
      <w:pPr>
        <w:pStyle w:val="MAPPA-Bodytext"/>
        <w:rPr>
          <w:szCs w:val="28"/>
          <w:lang w:val="en-GB"/>
        </w:rPr>
      </w:pPr>
    </w:p>
    <w:p w14:paraId="03278338" w14:textId="1DE1AFF2" w:rsidR="005531F5" w:rsidRDefault="005531F5" w:rsidP="00332EE6">
      <w:pPr>
        <w:pStyle w:val="MAPPA-Bodytext"/>
        <w:rPr>
          <w:szCs w:val="28"/>
          <w:lang w:val="en-GB"/>
        </w:rPr>
      </w:pPr>
    </w:p>
    <w:p w14:paraId="76279E05" w14:textId="68E6251E" w:rsidR="005531F5" w:rsidRDefault="005531F5" w:rsidP="00332EE6">
      <w:pPr>
        <w:pStyle w:val="MAPPA-Bodytext"/>
        <w:rPr>
          <w:szCs w:val="28"/>
          <w:lang w:val="en-GB"/>
        </w:rPr>
      </w:pPr>
    </w:p>
    <w:p w14:paraId="602AE11D" w14:textId="680B00FB" w:rsidR="005531F5" w:rsidRDefault="005531F5" w:rsidP="00332EE6">
      <w:pPr>
        <w:pStyle w:val="MAPPA-Bodytext"/>
        <w:rPr>
          <w:szCs w:val="28"/>
          <w:lang w:val="en-GB"/>
        </w:rPr>
      </w:pPr>
    </w:p>
    <w:p w14:paraId="09318929" w14:textId="4C67938E" w:rsidR="005531F5" w:rsidRDefault="005531F5" w:rsidP="00332EE6">
      <w:pPr>
        <w:pStyle w:val="MAPPA-Bodytext"/>
        <w:rPr>
          <w:szCs w:val="28"/>
          <w:lang w:val="en-GB"/>
        </w:rPr>
      </w:pPr>
    </w:p>
    <w:p w14:paraId="3C948820" w14:textId="29370FCA" w:rsidR="005531F5" w:rsidRDefault="005531F5" w:rsidP="00332EE6">
      <w:pPr>
        <w:pStyle w:val="MAPPA-Bodytext"/>
        <w:rPr>
          <w:szCs w:val="28"/>
          <w:lang w:val="en-GB"/>
        </w:rPr>
      </w:pPr>
    </w:p>
    <w:p w14:paraId="40657BE5" w14:textId="104ECCEC" w:rsidR="005531F5" w:rsidRDefault="005531F5" w:rsidP="00332EE6">
      <w:pPr>
        <w:pStyle w:val="MAPPA-Bodytext"/>
        <w:rPr>
          <w:szCs w:val="28"/>
          <w:lang w:val="en-GB"/>
        </w:rPr>
      </w:pPr>
    </w:p>
    <w:p w14:paraId="3A182D36" w14:textId="4C8B424A" w:rsidR="005531F5" w:rsidRDefault="005531F5" w:rsidP="00332EE6">
      <w:pPr>
        <w:pStyle w:val="MAPPA-Bodytext"/>
        <w:rPr>
          <w:szCs w:val="28"/>
          <w:lang w:val="en-GB"/>
        </w:rPr>
      </w:pPr>
    </w:p>
    <w:p w14:paraId="157AEA46" w14:textId="277A4DA8" w:rsidR="005531F5" w:rsidRDefault="005531F5" w:rsidP="00332EE6">
      <w:pPr>
        <w:pStyle w:val="MAPPA-Bodytext"/>
        <w:rPr>
          <w:szCs w:val="28"/>
          <w:lang w:val="en-GB"/>
        </w:rPr>
      </w:pPr>
    </w:p>
    <w:p w14:paraId="1A01F1C9" w14:textId="57A577FF" w:rsidR="005531F5" w:rsidRDefault="005531F5" w:rsidP="00332EE6">
      <w:pPr>
        <w:pStyle w:val="MAPPA-Bodytext"/>
        <w:rPr>
          <w:szCs w:val="28"/>
          <w:lang w:val="en-GB"/>
        </w:rPr>
      </w:pPr>
    </w:p>
    <w:p w14:paraId="01F95286" w14:textId="54DF8CD6" w:rsidR="005531F5" w:rsidRDefault="005531F5" w:rsidP="00332EE6">
      <w:pPr>
        <w:pStyle w:val="MAPPA-Bodytext"/>
        <w:rPr>
          <w:szCs w:val="28"/>
          <w:lang w:val="en-GB"/>
        </w:rPr>
      </w:pPr>
    </w:p>
    <w:p w14:paraId="1F2AC364" w14:textId="46968F0C" w:rsidR="005531F5" w:rsidRDefault="005531F5" w:rsidP="00332EE6">
      <w:pPr>
        <w:pStyle w:val="MAPPA-Bodytext"/>
        <w:rPr>
          <w:szCs w:val="28"/>
          <w:lang w:val="en-GB"/>
        </w:rPr>
      </w:pPr>
    </w:p>
    <w:p w14:paraId="18FA9049" w14:textId="5F7DFA96" w:rsidR="005531F5" w:rsidRDefault="005531F5" w:rsidP="00332EE6">
      <w:pPr>
        <w:pStyle w:val="MAPPA-Bodytext"/>
        <w:rPr>
          <w:szCs w:val="28"/>
          <w:lang w:val="en-GB"/>
        </w:rPr>
      </w:pPr>
    </w:p>
    <w:p w14:paraId="7F0343ED" w14:textId="3B51C978" w:rsidR="005531F5" w:rsidRDefault="005531F5" w:rsidP="00332EE6">
      <w:pPr>
        <w:pStyle w:val="MAPPA-Bodytext"/>
        <w:rPr>
          <w:szCs w:val="28"/>
          <w:lang w:val="en-GB"/>
        </w:rPr>
      </w:pPr>
    </w:p>
    <w:p w14:paraId="4BAAC980" w14:textId="72010339" w:rsidR="005531F5" w:rsidRDefault="005531F5" w:rsidP="00332EE6">
      <w:pPr>
        <w:pStyle w:val="MAPPA-Bodytext"/>
        <w:rPr>
          <w:szCs w:val="28"/>
          <w:lang w:val="en-GB"/>
        </w:rPr>
      </w:pPr>
    </w:p>
    <w:p w14:paraId="2BE585BD" w14:textId="77777777" w:rsidR="005531F5" w:rsidRPr="00B01E0C" w:rsidRDefault="005531F5" w:rsidP="00332EE6">
      <w:pPr>
        <w:pStyle w:val="MAPPA-Bodytext"/>
        <w:rPr>
          <w:szCs w:val="28"/>
          <w:lang w:val="en-GB"/>
        </w:rPr>
      </w:pPr>
    </w:p>
    <w:p w14:paraId="704B3FCD" w14:textId="77777777" w:rsidR="00332EE6" w:rsidRPr="0069414D" w:rsidRDefault="00332EE6" w:rsidP="00296A85">
      <w:pPr>
        <w:pStyle w:val="Heading1"/>
        <w:jc w:val="left"/>
      </w:pPr>
      <w:r w:rsidRPr="0069414D">
        <w:lastRenderedPageBreak/>
        <w:t>Local page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02ACA81C" w14:textId="25C05EAB" w:rsidR="002351F0" w:rsidRDefault="002351F0" w:rsidP="00E96A98">
      <w:pPr>
        <w:pStyle w:val="MAPPA-Bodytext"/>
        <w:spacing w:line="240" w:lineRule="auto"/>
        <w:jc w:val="both"/>
        <w:rPr>
          <w:bCs/>
          <w:iCs/>
          <w:spacing w:val="-6"/>
          <w:sz w:val="24"/>
          <w:szCs w:val="24"/>
          <w:lang w:val="en-GB"/>
        </w:rPr>
      </w:pPr>
      <w:r w:rsidRPr="00AB11A4">
        <w:rPr>
          <w:b/>
          <w:bCs/>
          <w:i/>
          <w:iCs/>
          <w:spacing w:val="-6"/>
          <w:sz w:val="24"/>
          <w:szCs w:val="24"/>
          <w:lang w:val="en-GB"/>
        </w:rPr>
        <w:t>MAPPA</w:t>
      </w:r>
      <w:r w:rsidRPr="00AB11A4">
        <w:rPr>
          <w:bCs/>
          <w:iCs/>
          <w:spacing w:val="-6"/>
          <w:sz w:val="24"/>
          <w:szCs w:val="24"/>
          <w:lang w:val="en-GB"/>
        </w:rPr>
        <w:t xml:space="preserve"> </w:t>
      </w:r>
      <w:r w:rsidRPr="00AB11A4">
        <w:rPr>
          <w:b/>
          <w:bCs/>
          <w:i/>
          <w:iCs/>
          <w:spacing w:val="-6"/>
          <w:sz w:val="24"/>
          <w:szCs w:val="24"/>
          <w:lang w:val="en-GB"/>
        </w:rPr>
        <w:t>Co-ordinator;</w:t>
      </w:r>
      <w:r w:rsidRPr="00AB11A4">
        <w:rPr>
          <w:bCs/>
          <w:iCs/>
          <w:spacing w:val="-6"/>
          <w:sz w:val="24"/>
          <w:szCs w:val="24"/>
          <w:lang w:val="en-GB"/>
        </w:rPr>
        <w:t xml:space="preserve"> </w:t>
      </w:r>
      <w:r w:rsidRPr="00AB11A4">
        <w:rPr>
          <w:b/>
          <w:bCs/>
          <w:i/>
          <w:iCs/>
          <w:spacing w:val="-6"/>
          <w:sz w:val="24"/>
          <w:szCs w:val="24"/>
          <w:lang w:val="en-GB"/>
        </w:rPr>
        <w:t>Kent</w:t>
      </w:r>
      <w:r w:rsidRPr="00AB11A4">
        <w:rPr>
          <w:bCs/>
          <w:iCs/>
          <w:spacing w:val="-6"/>
          <w:sz w:val="24"/>
          <w:szCs w:val="24"/>
          <w:lang w:val="en-GB"/>
        </w:rPr>
        <w:t xml:space="preserve"> </w:t>
      </w:r>
    </w:p>
    <w:p w14:paraId="3533D20A" w14:textId="364DCC6F" w:rsidR="00E96A98" w:rsidRDefault="00E96A98" w:rsidP="00E96A98">
      <w:pPr>
        <w:contextualSpacing/>
        <w:jc w:val="both"/>
        <w:rPr>
          <w:rFonts w:ascii="Arial" w:hAnsi="Arial" w:cs="Arial"/>
          <w:spacing w:val="-6"/>
        </w:rPr>
      </w:pPr>
      <w:r>
        <w:rPr>
          <w:rFonts w:ascii="Arial" w:hAnsi="Arial" w:cs="Arial"/>
          <w:spacing w:val="-6"/>
        </w:rPr>
        <w:t xml:space="preserve">The MAPPA co-ordination unit in Kent has undergone </w:t>
      </w:r>
      <w:r w:rsidR="000A1CF0">
        <w:rPr>
          <w:rFonts w:ascii="Arial" w:hAnsi="Arial" w:cs="Arial"/>
          <w:spacing w:val="-6"/>
        </w:rPr>
        <w:t>further</w:t>
      </w:r>
      <w:r>
        <w:rPr>
          <w:rFonts w:ascii="Arial" w:hAnsi="Arial" w:cs="Arial"/>
          <w:spacing w:val="-6"/>
        </w:rPr>
        <w:t xml:space="preserve"> staffing changes in both senior and administration roles across the County. MAPPA meeting administration and management has strengthened over this reporting period with additional changes made to practice and quality. Regular auditing of MAPPA practice across Kent from a multi-agency perspective has continued and supports identification of training and development needs of both Chairs and agency representatives. </w:t>
      </w:r>
    </w:p>
    <w:p w14:paraId="200D874D" w14:textId="77777777" w:rsidR="00E96A98" w:rsidRDefault="00E96A98" w:rsidP="00E96A98">
      <w:pPr>
        <w:contextualSpacing/>
        <w:jc w:val="both"/>
        <w:rPr>
          <w:rFonts w:ascii="Arial" w:hAnsi="Arial" w:cs="Arial"/>
          <w:spacing w:val="-6"/>
        </w:rPr>
      </w:pPr>
    </w:p>
    <w:p w14:paraId="420C5B41" w14:textId="61A87C97" w:rsidR="00E96A98" w:rsidRDefault="00E96A98" w:rsidP="00E96A98">
      <w:pPr>
        <w:contextualSpacing/>
        <w:jc w:val="both"/>
        <w:rPr>
          <w:rFonts w:ascii="Arial" w:hAnsi="Arial" w:cs="Arial"/>
          <w:spacing w:val="-6"/>
        </w:rPr>
      </w:pPr>
      <w:r>
        <w:rPr>
          <w:rFonts w:ascii="Arial" w:hAnsi="Arial" w:cs="Arial"/>
          <w:spacing w:val="-6"/>
        </w:rPr>
        <w:t xml:space="preserve">MAPPA surgeries continue to support Responsible Authority and Duty to Cooperate agency training, providing one to one case discussions, process/policy led support around MAPPA across Kent. In addition, MAPPA level 2 and 3 referrals are screened weekly which strengthens timeliness of the panels and decisions to increase the management level. </w:t>
      </w:r>
    </w:p>
    <w:p w14:paraId="6F15B4FC" w14:textId="77777777" w:rsidR="00E96A98" w:rsidRDefault="00E96A98" w:rsidP="00E96A98">
      <w:pPr>
        <w:contextualSpacing/>
        <w:jc w:val="both"/>
        <w:rPr>
          <w:rFonts w:ascii="Arial" w:hAnsi="Arial" w:cs="Arial"/>
          <w:spacing w:val="-6"/>
        </w:rPr>
      </w:pPr>
    </w:p>
    <w:p w14:paraId="2ECD28BA" w14:textId="005C91A9" w:rsidR="00E96A98" w:rsidRDefault="00E96A98" w:rsidP="00E96A98">
      <w:pPr>
        <w:contextualSpacing/>
        <w:jc w:val="both"/>
        <w:rPr>
          <w:rFonts w:ascii="Arial" w:hAnsi="Arial" w:cs="Arial"/>
          <w:spacing w:val="-6"/>
        </w:rPr>
      </w:pPr>
      <w:r>
        <w:rPr>
          <w:rFonts w:ascii="Arial" w:hAnsi="Arial" w:cs="Arial"/>
          <w:spacing w:val="-6"/>
        </w:rPr>
        <w:t>Regular risk forum meetings with all Secure Units across Kent continue</w:t>
      </w:r>
      <w:r w:rsidR="00EB4613">
        <w:rPr>
          <w:rFonts w:ascii="Arial" w:hAnsi="Arial" w:cs="Arial"/>
          <w:spacing w:val="-6"/>
        </w:rPr>
        <w:t>.  Processes have become embedded and strengthened and the q</w:t>
      </w:r>
      <w:r>
        <w:rPr>
          <w:rFonts w:ascii="Arial" w:hAnsi="Arial" w:cs="Arial"/>
          <w:spacing w:val="-6"/>
        </w:rPr>
        <w:t xml:space="preserve">uality of MAPPA patient information sharing has vastly improved with increased MAPPA I completion and AWOL planning. </w:t>
      </w:r>
    </w:p>
    <w:p w14:paraId="0FA020BE" w14:textId="77777777" w:rsidR="00E96A98" w:rsidRDefault="00E96A98" w:rsidP="00E96A98">
      <w:pPr>
        <w:contextualSpacing/>
        <w:jc w:val="both"/>
        <w:rPr>
          <w:rFonts w:ascii="Arial" w:hAnsi="Arial" w:cs="Arial"/>
          <w:spacing w:val="-6"/>
        </w:rPr>
      </w:pPr>
    </w:p>
    <w:p w14:paraId="0D14E335" w14:textId="73AFBAC9" w:rsidR="00E96A98" w:rsidRDefault="00E96A98" w:rsidP="00E96A98">
      <w:pPr>
        <w:contextualSpacing/>
        <w:jc w:val="both"/>
        <w:rPr>
          <w:rFonts w:ascii="Arial" w:hAnsi="Arial" w:cs="Arial"/>
          <w:spacing w:val="-6"/>
        </w:rPr>
      </w:pPr>
      <w:r>
        <w:rPr>
          <w:rFonts w:ascii="Arial" w:hAnsi="Arial" w:cs="Arial"/>
          <w:spacing w:val="-6"/>
        </w:rPr>
        <w:t>Kent MAPPA rolled out the new National document set in August 2022</w:t>
      </w:r>
      <w:r w:rsidR="00EB4613">
        <w:rPr>
          <w:rFonts w:ascii="Arial" w:hAnsi="Arial" w:cs="Arial"/>
          <w:spacing w:val="-6"/>
        </w:rPr>
        <w:t xml:space="preserve">. </w:t>
      </w:r>
      <w:r>
        <w:rPr>
          <w:rFonts w:ascii="Arial" w:hAnsi="Arial" w:cs="Arial"/>
          <w:spacing w:val="-6"/>
        </w:rPr>
        <w:t xml:space="preserve">This involved the restructure of Level 2 and 3 MAPPA meetings with the introduction of the Four Pillars Approach. Using a locally adapted document has assisted </w:t>
      </w:r>
      <w:r w:rsidR="00EB4613">
        <w:rPr>
          <w:rFonts w:ascii="Arial" w:hAnsi="Arial" w:cs="Arial"/>
          <w:spacing w:val="-6"/>
        </w:rPr>
        <w:t>in increasing the</w:t>
      </w:r>
      <w:r>
        <w:rPr>
          <w:rFonts w:ascii="Arial" w:hAnsi="Arial" w:cs="Arial"/>
          <w:spacing w:val="-6"/>
        </w:rPr>
        <w:t xml:space="preserve"> quality of risk management</w:t>
      </w:r>
      <w:r w:rsidR="00EB4613">
        <w:rPr>
          <w:rFonts w:ascii="Arial" w:hAnsi="Arial" w:cs="Arial"/>
          <w:spacing w:val="-6"/>
        </w:rPr>
        <w:t xml:space="preserve"> planning</w:t>
      </w:r>
      <w:r>
        <w:rPr>
          <w:rFonts w:ascii="Arial" w:hAnsi="Arial" w:cs="Arial"/>
          <w:spacing w:val="-6"/>
        </w:rPr>
        <w:t xml:space="preserve"> and </w:t>
      </w:r>
      <w:r w:rsidR="00EB4613">
        <w:rPr>
          <w:rFonts w:ascii="Arial" w:hAnsi="Arial" w:cs="Arial"/>
          <w:spacing w:val="-6"/>
        </w:rPr>
        <w:t>the time management of</w:t>
      </w:r>
      <w:r>
        <w:rPr>
          <w:rFonts w:ascii="Arial" w:hAnsi="Arial" w:cs="Arial"/>
          <w:spacing w:val="-6"/>
        </w:rPr>
        <w:t xml:space="preserve"> meetings. In addition, all Level 2 and 3 cases across Kent have been reviewed</w:t>
      </w:r>
      <w:r w:rsidR="00EB4613">
        <w:rPr>
          <w:rFonts w:ascii="Arial" w:hAnsi="Arial" w:cs="Arial"/>
          <w:spacing w:val="-6"/>
        </w:rPr>
        <w:t xml:space="preserve"> to ensure they are being managed at the correct level,</w:t>
      </w:r>
      <w:r>
        <w:rPr>
          <w:rFonts w:ascii="Arial" w:hAnsi="Arial" w:cs="Arial"/>
          <w:spacing w:val="-6"/>
        </w:rPr>
        <w:t xml:space="preserve"> leading to a sizable reduction in cases managed at Level 2. This has reassured</w:t>
      </w:r>
      <w:r w:rsidR="00EB4613">
        <w:rPr>
          <w:rFonts w:ascii="Arial" w:hAnsi="Arial" w:cs="Arial"/>
          <w:spacing w:val="-6"/>
        </w:rPr>
        <w:t xml:space="preserve"> Kent SMB of</w:t>
      </w:r>
      <w:r>
        <w:rPr>
          <w:rFonts w:ascii="Arial" w:hAnsi="Arial" w:cs="Arial"/>
          <w:spacing w:val="-6"/>
        </w:rPr>
        <w:t xml:space="preserve"> practice quality</w:t>
      </w:r>
      <w:r w:rsidR="00EB4613">
        <w:rPr>
          <w:rFonts w:ascii="Arial" w:hAnsi="Arial" w:cs="Arial"/>
          <w:spacing w:val="-6"/>
        </w:rPr>
        <w:t xml:space="preserve"> </w:t>
      </w:r>
      <w:r>
        <w:rPr>
          <w:rFonts w:ascii="Arial" w:hAnsi="Arial" w:cs="Arial"/>
          <w:spacing w:val="-6"/>
        </w:rPr>
        <w:t xml:space="preserve">and strengthened agency awareness and understanding of MAPPA practice. </w:t>
      </w:r>
    </w:p>
    <w:p w14:paraId="755D14FC" w14:textId="77777777" w:rsidR="00E96A98" w:rsidRDefault="00E96A98" w:rsidP="00E96A98">
      <w:pPr>
        <w:contextualSpacing/>
        <w:jc w:val="both"/>
        <w:rPr>
          <w:rFonts w:ascii="Arial" w:hAnsi="Arial" w:cs="Arial"/>
          <w:spacing w:val="-6"/>
        </w:rPr>
      </w:pPr>
    </w:p>
    <w:p w14:paraId="0EFAF240" w14:textId="21546ABE" w:rsidR="00E96A98" w:rsidRDefault="00E96A98" w:rsidP="00E96A98">
      <w:pPr>
        <w:contextualSpacing/>
        <w:jc w:val="both"/>
        <w:rPr>
          <w:rFonts w:ascii="Arial" w:hAnsi="Arial" w:cs="Arial"/>
          <w:spacing w:val="-6"/>
        </w:rPr>
      </w:pPr>
      <w:r>
        <w:rPr>
          <w:rFonts w:ascii="Arial" w:hAnsi="Arial" w:cs="Arial"/>
          <w:spacing w:val="-6"/>
        </w:rPr>
        <w:t xml:space="preserve">The Kent MAPPA team continue </w:t>
      </w:r>
      <w:r w:rsidR="00301085">
        <w:rPr>
          <w:rFonts w:ascii="Arial" w:hAnsi="Arial" w:cs="Arial"/>
          <w:spacing w:val="-6"/>
        </w:rPr>
        <w:t xml:space="preserve">to </w:t>
      </w:r>
      <w:r>
        <w:rPr>
          <w:rFonts w:ascii="Arial" w:hAnsi="Arial" w:cs="Arial"/>
          <w:spacing w:val="-6"/>
        </w:rPr>
        <w:t xml:space="preserve">develop and improve MAPPA practice and delivery across the County and would like to thank all partners and </w:t>
      </w:r>
      <w:r>
        <w:rPr>
          <w:rFonts w:ascii="Arial" w:hAnsi="Arial" w:cs="Arial"/>
          <w:spacing w:val="-6"/>
        </w:rPr>
        <w:t xml:space="preserve">key stakeholders who continue to support the local MAPPA process across Kent.  </w:t>
      </w:r>
    </w:p>
    <w:p w14:paraId="547AE4BC" w14:textId="77777777" w:rsidR="0028653B" w:rsidRDefault="0028653B" w:rsidP="002351F0">
      <w:pPr>
        <w:jc w:val="both"/>
        <w:rPr>
          <w:rFonts w:ascii="Arial" w:hAnsi="Arial" w:cs="Arial"/>
          <w:b/>
          <w:bCs/>
          <w:i/>
          <w:iCs/>
          <w:spacing w:val="-6"/>
        </w:rPr>
      </w:pPr>
    </w:p>
    <w:p w14:paraId="31DF2833" w14:textId="77777777" w:rsidR="00E96A98" w:rsidRDefault="00E96A98" w:rsidP="002351F0">
      <w:pPr>
        <w:jc w:val="both"/>
        <w:rPr>
          <w:rFonts w:ascii="Arial" w:hAnsi="Arial" w:cs="Arial"/>
          <w:b/>
          <w:bCs/>
          <w:i/>
          <w:iCs/>
          <w:spacing w:val="-6"/>
        </w:rPr>
      </w:pPr>
    </w:p>
    <w:p w14:paraId="74CEDB12" w14:textId="531398F1" w:rsidR="002351F0" w:rsidRDefault="002351F0" w:rsidP="002351F0">
      <w:pPr>
        <w:jc w:val="both"/>
        <w:rPr>
          <w:rFonts w:ascii="Arial" w:hAnsi="Arial" w:cs="Arial"/>
          <w:b/>
          <w:bCs/>
          <w:i/>
          <w:iCs/>
          <w:spacing w:val="-6"/>
        </w:rPr>
      </w:pPr>
      <w:r w:rsidRPr="002351F0">
        <w:rPr>
          <w:rFonts w:ascii="Arial" w:hAnsi="Arial" w:cs="Arial"/>
          <w:b/>
          <w:bCs/>
          <w:i/>
          <w:iCs/>
          <w:spacing w:val="-6"/>
        </w:rPr>
        <w:t>Kent Police</w:t>
      </w:r>
      <w:r>
        <w:rPr>
          <w:rFonts w:ascii="Arial" w:hAnsi="Arial" w:cs="Arial"/>
          <w:b/>
          <w:bCs/>
          <w:i/>
          <w:iCs/>
          <w:spacing w:val="-6"/>
        </w:rPr>
        <w:t>;</w:t>
      </w:r>
      <w:r w:rsidRPr="002351F0">
        <w:rPr>
          <w:rFonts w:ascii="Arial" w:hAnsi="Arial" w:cs="Arial"/>
          <w:b/>
          <w:bCs/>
          <w:i/>
          <w:iCs/>
          <w:spacing w:val="-6"/>
        </w:rPr>
        <w:t xml:space="preserve"> MOSOVO DI </w:t>
      </w:r>
    </w:p>
    <w:p w14:paraId="61DE2FA5" w14:textId="5DA603BC" w:rsidR="007814E6" w:rsidRPr="002351F0" w:rsidRDefault="007814E6" w:rsidP="0028653B">
      <w:pPr>
        <w:jc w:val="both"/>
        <w:rPr>
          <w:rFonts w:ascii="Arial" w:hAnsi="Arial" w:cs="Arial"/>
          <w:sz w:val="22"/>
          <w:szCs w:val="22"/>
        </w:rPr>
      </w:pPr>
      <w:r w:rsidRPr="002351F0">
        <w:rPr>
          <w:rFonts w:ascii="Arial" w:hAnsi="Arial" w:cs="Arial"/>
        </w:rPr>
        <w:t xml:space="preserve">We continue to work closely with </w:t>
      </w:r>
      <w:r w:rsidR="00212A36">
        <w:rPr>
          <w:rFonts w:ascii="Arial" w:hAnsi="Arial" w:cs="Arial"/>
        </w:rPr>
        <w:t xml:space="preserve">Kent </w:t>
      </w:r>
      <w:r w:rsidRPr="002351F0">
        <w:rPr>
          <w:rFonts w:ascii="Arial" w:hAnsi="Arial" w:cs="Arial"/>
        </w:rPr>
        <w:t xml:space="preserve">Probation to provide a centralised function to coordinate, Chair, Co-Chair and </w:t>
      </w:r>
      <w:r w:rsidR="00212A36">
        <w:rPr>
          <w:rFonts w:ascii="Arial" w:hAnsi="Arial" w:cs="Arial"/>
        </w:rPr>
        <w:t xml:space="preserve">facilitate </w:t>
      </w:r>
      <w:r w:rsidRPr="002351F0">
        <w:rPr>
          <w:rFonts w:ascii="Arial" w:hAnsi="Arial" w:cs="Arial"/>
        </w:rPr>
        <w:t xml:space="preserve"> MAPPA processes. Recruitment continues to improve our central team’s capabilities and contribution to level 2 and level 3 MAPPAs. We continue to maintain ongoing representation at MAPPA screening panels. Process</w:t>
      </w:r>
      <w:r w:rsidR="0070266E">
        <w:rPr>
          <w:rFonts w:ascii="Arial" w:hAnsi="Arial" w:cs="Arial"/>
        </w:rPr>
        <w:t>es</w:t>
      </w:r>
      <w:r w:rsidRPr="002351F0">
        <w:rPr>
          <w:rFonts w:ascii="Arial" w:hAnsi="Arial" w:cs="Arial"/>
        </w:rPr>
        <w:t xml:space="preserve"> have been implemented to ensure Probation led Level 2 and Level 3 offenders now have a partnered Police </w:t>
      </w:r>
      <w:r w:rsidR="001676C7">
        <w:rPr>
          <w:rFonts w:ascii="Arial" w:hAnsi="Arial" w:cs="Arial"/>
        </w:rPr>
        <w:t>O</w:t>
      </w:r>
      <w:r w:rsidRPr="002351F0">
        <w:rPr>
          <w:rFonts w:ascii="Arial" w:hAnsi="Arial" w:cs="Arial"/>
        </w:rPr>
        <w:t xml:space="preserve">ffender </w:t>
      </w:r>
      <w:r w:rsidR="001676C7">
        <w:rPr>
          <w:rFonts w:ascii="Arial" w:hAnsi="Arial" w:cs="Arial"/>
        </w:rPr>
        <w:t>M</w:t>
      </w:r>
      <w:r w:rsidRPr="002351F0">
        <w:rPr>
          <w:rFonts w:ascii="Arial" w:hAnsi="Arial" w:cs="Arial"/>
        </w:rPr>
        <w:t>anager</w:t>
      </w:r>
      <w:r w:rsidR="0070266E">
        <w:rPr>
          <w:rFonts w:ascii="Arial" w:hAnsi="Arial" w:cs="Arial"/>
        </w:rPr>
        <w:t xml:space="preserve"> to further support joint working</w:t>
      </w:r>
      <w:r w:rsidRPr="002351F0">
        <w:rPr>
          <w:rFonts w:ascii="Arial" w:hAnsi="Arial" w:cs="Arial"/>
        </w:rPr>
        <w:t xml:space="preserve">. </w:t>
      </w:r>
    </w:p>
    <w:p w14:paraId="23D6A762" w14:textId="77777777" w:rsidR="007814E6" w:rsidRPr="002351F0" w:rsidRDefault="007814E6" w:rsidP="0028653B">
      <w:pPr>
        <w:jc w:val="both"/>
        <w:rPr>
          <w:rFonts w:ascii="Arial" w:hAnsi="Arial" w:cs="Arial"/>
        </w:rPr>
      </w:pPr>
    </w:p>
    <w:p w14:paraId="7CE0174A" w14:textId="548D43C6" w:rsidR="007814E6" w:rsidRPr="002351F0" w:rsidRDefault="007814E6" w:rsidP="0028653B">
      <w:pPr>
        <w:jc w:val="both"/>
        <w:rPr>
          <w:rFonts w:ascii="Arial" w:hAnsi="Arial" w:cs="Arial"/>
        </w:rPr>
      </w:pPr>
      <w:r w:rsidRPr="002351F0">
        <w:rPr>
          <w:rFonts w:ascii="Arial" w:hAnsi="Arial" w:cs="Arial"/>
        </w:rPr>
        <w:t xml:space="preserve">Kent Police continue to develop innovative capabilities to manage offenders subject to MAPPA. Proactive identification and support have increased the number of applications and the number of offenders subject to Sexual Risk Orders. New processes with divisional and strategic proactive order officers have shown signs of early success contributing towards increased public protection from sexual offending. </w:t>
      </w:r>
    </w:p>
    <w:p w14:paraId="3BEA7708" w14:textId="77777777" w:rsidR="007814E6" w:rsidRPr="002351F0" w:rsidRDefault="007814E6" w:rsidP="0028653B">
      <w:pPr>
        <w:jc w:val="both"/>
        <w:rPr>
          <w:rFonts w:ascii="Arial" w:hAnsi="Arial" w:cs="Arial"/>
        </w:rPr>
      </w:pPr>
    </w:p>
    <w:p w14:paraId="2CE53F34" w14:textId="6D0457F3" w:rsidR="007814E6" w:rsidRPr="002351F0" w:rsidRDefault="007814E6" w:rsidP="0028653B">
      <w:pPr>
        <w:jc w:val="both"/>
        <w:rPr>
          <w:rFonts w:ascii="Arial" w:hAnsi="Arial" w:cs="Arial"/>
        </w:rPr>
      </w:pPr>
      <w:r w:rsidRPr="002351F0">
        <w:rPr>
          <w:rFonts w:ascii="Arial" w:hAnsi="Arial" w:cs="Arial"/>
        </w:rPr>
        <w:t>Proactive Digital Teams have been designed and developed over the past 6 months</w:t>
      </w:r>
      <w:r w:rsidR="00C6696F">
        <w:rPr>
          <w:rFonts w:ascii="Arial" w:hAnsi="Arial" w:cs="Arial"/>
        </w:rPr>
        <w:t xml:space="preserve"> and we are </w:t>
      </w:r>
      <w:r w:rsidRPr="002351F0">
        <w:rPr>
          <w:rFonts w:ascii="Arial" w:hAnsi="Arial" w:cs="Arial"/>
        </w:rPr>
        <w:t xml:space="preserve">currently at the implementation stage. These teams will provide an enhanced digital targeting capacity to prevent and detect online and digital offending by MAPPA sexual offenders. </w:t>
      </w:r>
    </w:p>
    <w:p w14:paraId="71B68ACD" w14:textId="77777777" w:rsidR="007814E6" w:rsidRPr="002351F0" w:rsidRDefault="007814E6" w:rsidP="0028653B">
      <w:pPr>
        <w:jc w:val="both"/>
        <w:rPr>
          <w:rFonts w:ascii="Arial" w:hAnsi="Arial" w:cs="Arial"/>
        </w:rPr>
      </w:pPr>
    </w:p>
    <w:p w14:paraId="02F7BD4F" w14:textId="77777777" w:rsidR="007814E6" w:rsidRPr="002351F0" w:rsidRDefault="007814E6" w:rsidP="0028653B">
      <w:pPr>
        <w:jc w:val="both"/>
        <w:rPr>
          <w:rFonts w:ascii="Arial" w:hAnsi="Arial" w:cs="Arial"/>
        </w:rPr>
      </w:pPr>
      <w:r w:rsidRPr="002351F0">
        <w:rPr>
          <w:rFonts w:ascii="Arial" w:hAnsi="Arial" w:cs="Arial"/>
        </w:rPr>
        <w:t xml:space="preserve">MATAC has been established which will feed into MAPPA, especially domestic abuse offenders suitable for Category 3 management. </w:t>
      </w:r>
    </w:p>
    <w:p w14:paraId="08947772" w14:textId="61A3B5FB" w:rsidR="007814E6" w:rsidRDefault="007814E6" w:rsidP="00332EE6">
      <w:pPr>
        <w:pStyle w:val="MAPPA-HeadingPara"/>
        <w:rPr>
          <w:rFonts w:cs="Arial"/>
          <w:i/>
          <w:iCs/>
          <w:lang w:val="en-GB"/>
        </w:rPr>
      </w:pPr>
    </w:p>
    <w:p w14:paraId="608951B9" w14:textId="0F11037F" w:rsidR="00212A36" w:rsidRDefault="00212A36" w:rsidP="00332EE6">
      <w:pPr>
        <w:pStyle w:val="MAPPA-HeadingPara"/>
        <w:rPr>
          <w:rFonts w:cs="Arial"/>
          <w:i/>
          <w:iCs/>
          <w:lang w:val="en-GB"/>
        </w:rPr>
      </w:pPr>
    </w:p>
    <w:p w14:paraId="1ABFD816" w14:textId="4CD17944" w:rsidR="00212A36" w:rsidRDefault="00212A36" w:rsidP="00332EE6">
      <w:pPr>
        <w:pStyle w:val="MAPPA-HeadingPara"/>
        <w:rPr>
          <w:rFonts w:cs="Arial"/>
          <w:i/>
          <w:iCs/>
          <w:lang w:val="en-GB"/>
        </w:rPr>
      </w:pPr>
    </w:p>
    <w:p w14:paraId="53E6F6B1" w14:textId="5738B800" w:rsidR="002351F0" w:rsidRDefault="002351F0" w:rsidP="007814E6">
      <w:pPr>
        <w:rPr>
          <w:rFonts w:ascii="Arial" w:hAnsi="Arial" w:cs="Arial"/>
          <w:b/>
          <w:bCs/>
          <w:i/>
          <w:iCs/>
          <w:spacing w:val="-6"/>
        </w:rPr>
      </w:pPr>
      <w:r w:rsidRPr="002351F0">
        <w:rPr>
          <w:rFonts w:ascii="Arial" w:hAnsi="Arial" w:cs="Arial"/>
          <w:b/>
          <w:bCs/>
          <w:i/>
          <w:iCs/>
          <w:spacing w:val="-6"/>
        </w:rPr>
        <w:lastRenderedPageBreak/>
        <w:t>SMB</w:t>
      </w:r>
      <w:r w:rsidRPr="002351F0">
        <w:rPr>
          <w:rFonts w:ascii="Arial" w:hAnsi="Arial" w:cs="Arial"/>
          <w:bCs/>
          <w:i/>
          <w:iCs/>
          <w:spacing w:val="-6"/>
        </w:rPr>
        <w:t xml:space="preserve"> </w:t>
      </w:r>
      <w:r w:rsidRPr="002351F0">
        <w:rPr>
          <w:rFonts w:ascii="Arial" w:hAnsi="Arial" w:cs="Arial"/>
          <w:b/>
          <w:bCs/>
          <w:i/>
          <w:iCs/>
          <w:spacing w:val="-6"/>
        </w:rPr>
        <w:t xml:space="preserve">Perspective; Kent 18+ Leaving Service </w:t>
      </w:r>
    </w:p>
    <w:p w14:paraId="35F7BC41" w14:textId="77777777" w:rsidR="006E09BB" w:rsidRPr="002351F0" w:rsidRDefault="006E09BB" w:rsidP="007814E6">
      <w:pPr>
        <w:rPr>
          <w:rFonts w:ascii="Arial" w:hAnsi="Arial" w:cs="Arial"/>
          <w:i/>
          <w:iCs/>
        </w:rPr>
      </w:pPr>
    </w:p>
    <w:p w14:paraId="08F68685" w14:textId="45B8E509" w:rsidR="007814E6" w:rsidRPr="002351F0" w:rsidRDefault="007814E6" w:rsidP="0028653B">
      <w:pPr>
        <w:jc w:val="both"/>
        <w:rPr>
          <w:rFonts w:ascii="Arial" w:hAnsi="Arial" w:cs="Arial"/>
          <w:sz w:val="22"/>
          <w:szCs w:val="22"/>
        </w:rPr>
      </w:pPr>
      <w:r w:rsidRPr="002351F0">
        <w:rPr>
          <w:rFonts w:ascii="Arial" w:hAnsi="Arial" w:cs="Arial"/>
        </w:rPr>
        <w:t xml:space="preserve">I attend all MAPPA meetings for Kent Care Leavers as the </w:t>
      </w:r>
      <w:r w:rsidR="00E96A98" w:rsidRPr="002351F0">
        <w:rPr>
          <w:rFonts w:ascii="Arial" w:hAnsi="Arial" w:cs="Arial"/>
        </w:rPr>
        <w:t>SPOC,</w:t>
      </w:r>
      <w:r w:rsidRPr="002351F0">
        <w:rPr>
          <w:rFonts w:ascii="Arial" w:hAnsi="Arial" w:cs="Arial"/>
        </w:rPr>
        <w:t xml:space="preserve"> and this allows me to have a good overview of the cases and enables me to step in if the allocated worker is unavailable.  I have also found that the MAPPA </w:t>
      </w:r>
      <w:r w:rsidR="002351F0" w:rsidRPr="002351F0">
        <w:rPr>
          <w:rFonts w:ascii="Arial" w:hAnsi="Arial" w:cs="Arial"/>
        </w:rPr>
        <w:t>surgeries</w:t>
      </w:r>
      <w:r w:rsidRPr="002351F0">
        <w:rPr>
          <w:rFonts w:ascii="Arial" w:hAnsi="Arial" w:cs="Arial"/>
        </w:rPr>
        <w:t xml:space="preserve"> have been very informative and a good tool to discuss concerning cases that may not meet the threshold of MAPPA to discuss contingency plans to reduce risk or additional information can be shared to evidence why a case should be managed under MAPPA.</w:t>
      </w:r>
    </w:p>
    <w:p w14:paraId="6BB30DC2" w14:textId="77777777" w:rsidR="002351F0" w:rsidRDefault="002351F0" w:rsidP="0028653B">
      <w:pPr>
        <w:jc w:val="both"/>
      </w:pPr>
    </w:p>
    <w:p w14:paraId="7B3FA115" w14:textId="77777777" w:rsidR="00E96A98" w:rsidRDefault="00E96A98" w:rsidP="007814E6">
      <w:pPr>
        <w:rPr>
          <w:rFonts w:ascii="Arial" w:hAnsi="Arial" w:cs="Arial"/>
          <w:b/>
          <w:bCs/>
          <w:i/>
          <w:iCs/>
          <w:spacing w:val="-6"/>
        </w:rPr>
      </w:pPr>
    </w:p>
    <w:p w14:paraId="0E65B964" w14:textId="49346CD2" w:rsidR="002351F0" w:rsidRDefault="002351F0" w:rsidP="007814E6">
      <w:pPr>
        <w:rPr>
          <w:rFonts w:ascii="Arial" w:hAnsi="Arial" w:cs="Arial"/>
          <w:b/>
          <w:bCs/>
          <w:i/>
          <w:iCs/>
        </w:rPr>
      </w:pPr>
      <w:r w:rsidRPr="002351F0">
        <w:rPr>
          <w:rFonts w:ascii="Arial" w:hAnsi="Arial" w:cs="Arial"/>
          <w:b/>
          <w:bCs/>
          <w:i/>
          <w:iCs/>
          <w:spacing w:val="-6"/>
        </w:rPr>
        <w:t xml:space="preserve">SMB Perspective; </w:t>
      </w:r>
      <w:r w:rsidRPr="002351F0">
        <w:rPr>
          <w:rFonts w:ascii="Arial" w:hAnsi="Arial" w:cs="Arial"/>
          <w:b/>
          <w:bCs/>
          <w:i/>
          <w:iCs/>
        </w:rPr>
        <w:t>Folkestone &amp; Hythe District Council (FHDC)</w:t>
      </w:r>
    </w:p>
    <w:p w14:paraId="663BC513" w14:textId="77777777" w:rsidR="003316A8" w:rsidRPr="002351F0" w:rsidRDefault="003316A8" w:rsidP="007814E6">
      <w:pPr>
        <w:rPr>
          <w:rFonts w:ascii="Arial" w:hAnsi="Arial" w:cs="Arial"/>
          <w:b/>
          <w:bCs/>
          <w:i/>
          <w:iCs/>
        </w:rPr>
      </w:pPr>
    </w:p>
    <w:p w14:paraId="48E18FB8" w14:textId="0794F52E" w:rsidR="007814E6" w:rsidRPr="002351F0" w:rsidRDefault="002351F0" w:rsidP="0028653B">
      <w:pPr>
        <w:jc w:val="both"/>
        <w:rPr>
          <w:rFonts w:ascii="Arial" w:hAnsi="Arial" w:cs="Arial"/>
        </w:rPr>
      </w:pPr>
      <w:r w:rsidRPr="002351F0">
        <w:rPr>
          <w:rFonts w:ascii="Arial" w:hAnsi="Arial" w:cs="Arial"/>
        </w:rPr>
        <w:t>A</w:t>
      </w:r>
      <w:r w:rsidR="007814E6" w:rsidRPr="002351F0">
        <w:rPr>
          <w:rFonts w:ascii="Arial" w:hAnsi="Arial" w:cs="Arial"/>
        </w:rPr>
        <w:t xml:space="preserve">s a duty to co-operate agency </w:t>
      </w:r>
      <w:r w:rsidR="001676C7">
        <w:rPr>
          <w:rFonts w:ascii="Arial" w:hAnsi="Arial" w:cs="Arial"/>
        </w:rPr>
        <w:t xml:space="preserve">we </w:t>
      </w:r>
      <w:r w:rsidR="007814E6" w:rsidRPr="002351F0">
        <w:rPr>
          <w:rFonts w:ascii="Arial" w:hAnsi="Arial" w:cs="Arial"/>
        </w:rPr>
        <w:t xml:space="preserve">have welcomed the new core panels. </w:t>
      </w:r>
    </w:p>
    <w:p w14:paraId="1053739E" w14:textId="77777777" w:rsidR="007814E6" w:rsidRPr="002351F0" w:rsidRDefault="007814E6" w:rsidP="0028653B">
      <w:pPr>
        <w:jc w:val="both"/>
        <w:rPr>
          <w:rFonts w:ascii="Arial" w:hAnsi="Arial" w:cs="Arial"/>
        </w:rPr>
      </w:pPr>
    </w:p>
    <w:p w14:paraId="6C872BD8" w14:textId="77777777" w:rsidR="007814E6" w:rsidRPr="002351F0" w:rsidRDefault="007814E6" w:rsidP="0028653B">
      <w:pPr>
        <w:jc w:val="both"/>
        <w:rPr>
          <w:rFonts w:ascii="Arial" w:hAnsi="Arial" w:cs="Arial"/>
        </w:rPr>
      </w:pPr>
      <w:r w:rsidRPr="002351F0">
        <w:rPr>
          <w:rFonts w:ascii="Arial" w:hAnsi="Arial" w:cs="Arial"/>
        </w:rPr>
        <w:t>FHDC are in the fortunate position to employ an ex-offenders housing solutions officer who attends these meetings &amp; can now block MAPPA meeting days out of the calendar for future months which allows 100% attendance.</w:t>
      </w:r>
    </w:p>
    <w:p w14:paraId="18A9E732" w14:textId="77777777" w:rsidR="007814E6" w:rsidRPr="002351F0" w:rsidRDefault="007814E6" w:rsidP="0028653B">
      <w:pPr>
        <w:jc w:val="both"/>
        <w:rPr>
          <w:rFonts w:ascii="Arial" w:hAnsi="Arial" w:cs="Arial"/>
        </w:rPr>
      </w:pPr>
    </w:p>
    <w:p w14:paraId="49172807" w14:textId="77777777" w:rsidR="007814E6" w:rsidRPr="002351F0" w:rsidRDefault="007814E6" w:rsidP="0028653B">
      <w:pPr>
        <w:jc w:val="both"/>
        <w:rPr>
          <w:rFonts w:ascii="Arial" w:hAnsi="Arial" w:cs="Arial"/>
        </w:rPr>
      </w:pPr>
      <w:r w:rsidRPr="002351F0">
        <w:rPr>
          <w:rFonts w:ascii="Arial" w:hAnsi="Arial" w:cs="Arial"/>
        </w:rPr>
        <w:t xml:space="preserve">Before core panels were introduced, it was a challenge to get the staffing to attend MAPPA meetings, and we could not forecast meetings like we can do now. </w:t>
      </w:r>
    </w:p>
    <w:p w14:paraId="18677D98" w14:textId="77777777" w:rsidR="007814E6" w:rsidRPr="002351F0" w:rsidRDefault="007814E6" w:rsidP="0028653B">
      <w:pPr>
        <w:jc w:val="both"/>
        <w:rPr>
          <w:rFonts w:ascii="Arial" w:hAnsi="Arial" w:cs="Arial"/>
        </w:rPr>
      </w:pPr>
    </w:p>
    <w:p w14:paraId="5549FD05" w14:textId="10418781" w:rsidR="007814E6" w:rsidRPr="002351F0" w:rsidRDefault="007814E6" w:rsidP="0028653B">
      <w:pPr>
        <w:jc w:val="both"/>
        <w:rPr>
          <w:rFonts w:ascii="Arial" w:hAnsi="Arial" w:cs="Arial"/>
        </w:rPr>
      </w:pPr>
      <w:r w:rsidRPr="002351F0">
        <w:rPr>
          <w:rFonts w:ascii="Arial" w:hAnsi="Arial" w:cs="Arial"/>
        </w:rPr>
        <w:t xml:space="preserve">The ex-offenders housing solutions officer is in regular contact with </w:t>
      </w:r>
      <w:r w:rsidR="001676C7">
        <w:rPr>
          <w:rFonts w:ascii="Arial" w:hAnsi="Arial" w:cs="Arial"/>
        </w:rPr>
        <w:t>P</w:t>
      </w:r>
      <w:r w:rsidRPr="002351F0">
        <w:rPr>
          <w:rFonts w:ascii="Arial" w:hAnsi="Arial" w:cs="Arial"/>
        </w:rPr>
        <w:t xml:space="preserve">robation and offers housing advice to staff and prison leavers whilst understanding the complexities and challenges of some prison leavers. </w:t>
      </w:r>
    </w:p>
    <w:p w14:paraId="5B255C0C" w14:textId="77777777" w:rsidR="00332EE6" w:rsidRPr="00916D29" w:rsidRDefault="00332EE6" w:rsidP="00332EE6">
      <w:pPr>
        <w:pStyle w:val="MAPPA-Bodytext"/>
        <w:rPr>
          <w:lang w:val="en-GB"/>
        </w:rPr>
      </w:pPr>
    </w:p>
    <w:p w14:paraId="434917BE" w14:textId="4AD4158F" w:rsidR="00332EE6" w:rsidRPr="00C67D6D" w:rsidRDefault="00C67D6D" w:rsidP="00332EE6">
      <w:pPr>
        <w:pStyle w:val="MAPPA-Bodytext"/>
        <w:rPr>
          <w:sz w:val="24"/>
          <w:szCs w:val="24"/>
          <w:lang w:val="en-GB"/>
        </w:rPr>
      </w:pPr>
      <w:r w:rsidRPr="00C67D6D">
        <w:rPr>
          <w:b/>
          <w:bCs/>
          <w:i/>
          <w:iCs/>
          <w:spacing w:val="-6"/>
          <w:sz w:val="24"/>
          <w:szCs w:val="24"/>
        </w:rPr>
        <w:t>SMB Perspective;</w:t>
      </w:r>
      <w:r>
        <w:rPr>
          <w:b/>
          <w:bCs/>
          <w:i/>
          <w:iCs/>
          <w:spacing w:val="-6"/>
          <w:sz w:val="24"/>
          <w:szCs w:val="24"/>
        </w:rPr>
        <w:t xml:space="preserve"> Kent Children’s Social Work Services</w:t>
      </w:r>
    </w:p>
    <w:p w14:paraId="69ABB184" w14:textId="77777777" w:rsidR="00C67D6D" w:rsidRPr="00C67D6D" w:rsidRDefault="00C67D6D" w:rsidP="00C67D6D">
      <w:pPr>
        <w:rPr>
          <w:rFonts w:ascii="Arial" w:hAnsi="Arial" w:cs="Arial"/>
          <w:sz w:val="22"/>
          <w:szCs w:val="22"/>
        </w:rPr>
      </w:pPr>
      <w:r w:rsidRPr="00C67D6D">
        <w:rPr>
          <w:rFonts w:ascii="Arial" w:hAnsi="Arial" w:cs="Arial"/>
        </w:rPr>
        <w:t xml:space="preserve">To inform this feedback we have taken the views from practitioners within Children and Young People’s services so is focused on practice rather than a wider strategic oversight. </w:t>
      </w:r>
    </w:p>
    <w:p w14:paraId="7AC5F755" w14:textId="77777777" w:rsidR="00C67D6D" w:rsidRPr="00C67D6D" w:rsidRDefault="00C67D6D" w:rsidP="00C67D6D">
      <w:pPr>
        <w:rPr>
          <w:rFonts w:ascii="Arial" w:hAnsi="Arial" w:cs="Arial"/>
        </w:rPr>
      </w:pPr>
    </w:p>
    <w:p w14:paraId="17AE64AD" w14:textId="36BC5C6C" w:rsidR="00C67D6D" w:rsidRPr="00C67D6D" w:rsidRDefault="001676C7" w:rsidP="00C67D6D">
      <w:pPr>
        <w:rPr>
          <w:rFonts w:ascii="Arial" w:hAnsi="Arial" w:cs="Arial"/>
        </w:rPr>
      </w:pPr>
      <w:r>
        <w:rPr>
          <w:rFonts w:ascii="Arial" w:hAnsi="Arial" w:cs="Arial"/>
        </w:rPr>
        <w:t>One Senior Manager</w:t>
      </w:r>
      <w:r w:rsidR="00C67D6D" w:rsidRPr="00C67D6D">
        <w:rPr>
          <w:rFonts w:ascii="Arial" w:hAnsi="Arial" w:cs="Arial"/>
        </w:rPr>
        <w:t xml:space="preserve"> described regularly attending all MAPPA meetings in Kent as the SPOC. This allows this manager to have a good overview of the cases and enables them to step in if the allocated worker is unavailable.  This manager has found that the </w:t>
      </w:r>
      <w:r w:rsidR="00C67D6D" w:rsidRPr="00C67D6D">
        <w:rPr>
          <w:rFonts w:ascii="Arial" w:hAnsi="Arial" w:cs="Arial"/>
        </w:rPr>
        <w:t>MAPPA surgeries have been very informative and a good tool to discuss concerning cases</w:t>
      </w:r>
      <w:r>
        <w:rPr>
          <w:rFonts w:ascii="Arial" w:hAnsi="Arial" w:cs="Arial"/>
        </w:rPr>
        <w:t>.</w:t>
      </w:r>
      <w:r w:rsidR="00C67D6D" w:rsidRPr="00C67D6D">
        <w:rPr>
          <w:rFonts w:ascii="Arial" w:hAnsi="Arial" w:cs="Arial"/>
        </w:rPr>
        <w:t xml:space="preserve"> </w:t>
      </w:r>
    </w:p>
    <w:p w14:paraId="185910CD" w14:textId="77777777" w:rsidR="00C67D6D" w:rsidRPr="00C67D6D" w:rsidRDefault="00C67D6D" w:rsidP="00C67D6D">
      <w:pPr>
        <w:rPr>
          <w:rFonts w:ascii="Arial" w:hAnsi="Arial" w:cs="Arial"/>
        </w:rPr>
      </w:pPr>
    </w:p>
    <w:p w14:paraId="2BE634AF" w14:textId="4351AEF6" w:rsidR="00C67D6D" w:rsidRPr="00C67D6D" w:rsidRDefault="00C67D6D" w:rsidP="00C67D6D">
      <w:pPr>
        <w:rPr>
          <w:rFonts w:ascii="Arial" w:hAnsi="Arial" w:cs="Arial"/>
        </w:rPr>
      </w:pPr>
      <w:r w:rsidRPr="00C67D6D">
        <w:rPr>
          <w:rFonts w:ascii="Arial" w:hAnsi="Arial" w:cs="Arial"/>
        </w:rPr>
        <w:t>There is a general c</w:t>
      </w:r>
      <w:r>
        <w:rPr>
          <w:rFonts w:ascii="Arial" w:hAnsi="Arial" w:cs="Arial"/>
        </w:rPr>
        <w:t>onse</w:t>
      </w:r>
      <w:r w:rsidRPr="00C67D6D">
        <w:rPr>
          <w:rFonts w:ascii="Arial" w:hAnsi="Arial" w:cs="Arial"/>
        </w:rPr>
        <w:t xml:space="preserve">nsus that the quality of the training provided by MAPPA colleagues is of a high standard. </w:t>
      </w:r>
    </w:p>
    <w:p w14:paraId="397FD77F" w14:textId="77777777" w:rsidR="00C67D6D" w:rsidRPr="00C67D6D" w:rsidRDefault="00C67D6D" w:rsidP="00C67D6D">
      <w:pPr>
        <w:rPr>
          <w:rFonts w:ascii="Arial" w:hAnsi="Arial" w:cs="Arial"/>
        </w:rPr>
      </w:pPr>
    </w:p>
    <w:p w14:paraId="1DE0DBAE" w14:textId="3EBDB025" w:rsidR="00C67D6D" w:rsidRDefault="00C67D6D" w:rsidP="00C67D6D">
      <w:pPr>
        <w:rPr>
          <w:rFonts w:ascii="Arial" w:hAnsi="Arial" w:cs="Arial"/>
        </w:rPr>
      </w:pPr>
      <w:r>
        <w:rPr>
          <w:rFonts w:ascii="Arial" w:hAnsi="Arial" w:cs="Arial"/>
        </w:rPr>
        <w:t>O</w:t>
      </w:r>
      <w:r w:rsidRPr="00C67D6D">
        <w:rPr>
          <w:rFonts w:ascii="Arial" w:hAnsi="Arial" w:cs="Arial"/>
        </w:rPr>
        <w:t xml:space="preserve">perational </w:t>
      </w:r>
      <w:r>
        <w:rPr>
          <w:rFonts w:ascii="Arial" w:hAnsi="Arial" w:cs="Arial"/>
        </w:rPr>
        <w:t>S</w:t>
      </w:r>
      <w:r w:rsidRPr="00C67D6D">
        <w:rPr>
          <w:rFonts w:ascii="Arial" w:hAnsi="Arial" w:cs="Arial"/>
        </w:rPr>
        <w:t xml:space="preserve">ervice </w:t>
      </w:r>
      <w:r>
        <w:rPr>
          <w:rFonts w:ascii="Arial" w:hAnsi="Arial" w:cs="Arial"/>
        </w:rPr>
        <w:t>M</w:t>
      </w:r>
      <w:r w:rsidRPr="00C67D6D">
        <w:rPr>
          <w:rFonts w:ascii="Arial" w:hAnsi="Arial" w:cs="Arial"/>
        </w:rPr>
        <w:t xml:space="preserve">anagers within </w:t>
      </w:r>
      <w:r>
        <w:rPr>
          <w:rFonts w:ascii="Arial" w:hAnsi="Arial" w:cs="Arial"/>
        </w:rPr>
        <w:t>Kent</w:t>
      </w:r>
      <w:r w:rsidRPr="00C67D6D">
        <w:rPr>
          <w:rFonts w:ascii="Arial" w:hAnsi="Arial" w:cs="Arial"/>
        </w:rPr>
        <w:t xml:space="preserve"> </w:t>
      </w:r>
      <w:r>
        <w:rPr>
          <w:rFonts w:ascii="Arial" w:hAnsi="Arial" w:cs="Arial"/>
        </w:rPr>
        <w:t>C</w:t>
      </w:r>
      <w:r w:rsidRPr="00C67D6D">
        <w:rPr>
          <w:rFonts w:ascii="Arial" w:hAnsi="Arial" w:cs="Arial"/>
        </w:rPr>
        <w:t>hildren</w:t>
      </w:r>
      <w:r>
        <w:rPr>
          <w:rFonts w:ascii="Arial" w:hAnsi="Arial" w:cs="Arial"/>
        </w:rPr>
        <w:t>’s</w:t>
      </w:r>
      <w:r w:rsidRPr="00C67D6D">
        <w:rPr>
          <w:rFonts w:ascii="Arial" w:hAnsi="Arial" w:cs="Arial"/>
        </w:rPr>
        <w:t xml:space="preserve"> </w:t>
      </w:r>
      <w:r>
        <w:rPr>
          <w:rFonts w:ascii="Arial" w:hAnsi="Arial" w:cs="Arial"/>
        </w:rPr>
        <w:t>S</w:t>
      </w:r>
      <w:r w:rsidRPr="00C67D6D">
        <w:rPr>
          <w:rFonts w:ascii="Arial" w:hAnsi="Arial" w:cs="Arial"/>
        </w:rPr>
        <w:t xml:space="preserve">ocial </w:t>
      </w:r>
      <w:r>
        <w:rPr>
          <w:rFonts w:ascii="Arial" w:hAnsi="Arial" w:cs="Arial"/>
        </w:rPr>
        <w:t>W</w:t>
      </w:r>
      <w:r w:rsidRPr="00C67D6D">
        <w:rPr>
          <w:rFonts w:ascii="Arial" w:hAnsi="Arial" w:cs="Arial"/>
        </w:rPr>
        <w:t xml:space="preserve">ork </w:t>
      </w:r>
      <w:r>
        <w:rPr>
          <w:rFonts w:ascii="Arial" w:hAnsi="Arial" w:cs="Arial"/>
        </w:rPr>
        <w:t>S</w:t>
      </w:r>
      <w:r w:rsidRPr="00C67D6D">
        <w:rPr>
          <w:rFonts w:ascii="Arial" w:hAnsi="Arial" w:cs="Arial"/>
        </w:rPr>
        <w:t xml:space="preserve">ervices </w:t>
      </w:r>
      <w:r>
        <w:rPr>
          <w:rFonts w:ascii="Arial" w:hAnsi="Arial" w:cs="Arial"/>
        </w:rPr>
        <w:t>would appreciate gr</w:t>
      </w:r>
      <w:r w:rsidRPr="00C67D6D">
        <w:rPr>
          <w:rFonts w:ascii="Arial" w:hAnsi="Arial" w:cs="Arial"/>
        </w:rPr>
        <w:t>eater clarity over their attendance</w:t>
      </w:r>
      <w:r>
        <w:rPr>
          <w:rFonts w:ascii="Arial" w:hAnsi="Arial" w:cs="Arial"/>
        </w:rPr>
        <w:t xml:space="preserve"> to avoid</w:t>
      </w:r>
      <w:r w:rsidRPr="00C67D6D">
        <w:rPr>
          <w:rFonts w:ascii="Arial" w:hAnsi="Arial" w:cs="Arial"/>
        </w:rPr>
        <w:t xml:space="preserve"> duplication w</w:t>
      </w:r>
      <w:r>
        <w:rPr>
          <w:rFonts w:ascii="Arial" w:hAnsi="Arial" w:cs="Arial"/>
        </w:rPr>
        <w:t>hen</w:t>
      </w:r>
      <w:r w:rsidRPr="00C67D6D">
        <w:rPr>
          <w:rFonts w:ascii="Arial" w:hAnsi="Arial" w:cs="Arial"/>
        </w:rPr>
        <w:t xml:space="preserve"> </w:t>
      </w:r>
      <w:r>
        <w:rPr>
          <w:rFonts w:ascii="Arial" w:hAnsi="Arial" w:cs="Arial"/>
        </w:rPr>
        <w:t>S</w:t>
      </w:r>
      <w:r w:rsidRPr="00C67D6D">
        <w:rPr>
          <w:rFonts w:ascii="Arial" w:hAnsi="Arial" w:cs="Arial"/>
        </w:rPr>
        <w:t xml:space="preserve">ocial </w:t>
      </w:r>
      <w:r>
        <w:rPr>
          <w:rFonts w:ascii="Arial" w:hAnsi="Arial" w:cs="Arial"/>
        </w:rPr>
        <w:t>W</w:t>
      </w:r>
      <w:r w:rsidRPr="00C67D6D">
        <w:rPr>
          <w:rFonts w:ascii="Arial" w:hAnsi="Arial" w:cs="Arial"/>
        </w:rPr>
        <w:t xml:space="preserve">orkers attend individual MAPPA meetings </w:t>
      </w:r>
      <w:r>
        <w:rPr>
          <w:rFonts w:ascii="Arial" w:hAnsi="Arial" w:cs="Arial"/>
        </w:rPr>
        <w:t>also.</w:t>
      </w:r>
    </w:p>
    <w:p w14:paraId="0E1B4B18" w14:textId="77777777" w:rsidR="00C67D6D" w:rsidRPr="00C67D6D" w:rsidRDefault="00C67D6D" w:rsidP="00C67D6D">
      <w:pPr>
        <w:rPr>
          <w:rFonts w:ascii="Arial" w:hAnsi="Arial" w:cs="Arial"/>
        </w:rPr>
      </w:pPr>
    </w:p>
    <w:p w14:paraId="56586A5E" w14:textId="77777777" w:rsidR="00C67D6D" w:rsidRPr="00C67D6D" w:rsidRDefault="00C67D6D" w:rsidP="00C67D6D">
      <w:pPr>
        <w:rPr>
          <w:rFonts w:ascii="Arial" w:hAnsi="Arial" w:cs="Arial"/>
        </w:rPr>
      </w:pPr>
      <w:r w:rsidRPr="00C67D6D">
        <w:rPr>
          <w:rFonts w:ascii="Arial" w:hAnsi="Arial" w:cs="Arial"/>
        </w:rPr>
        <w:t xml:space="preserve">Outside of this one area of development there is a repeating theme of good practice identified in protecting children and sharing intelligence. </w:t>
      </w:r>
    </w:p>
    <w:p w14:paraId="54D36253" w14:textId="77777777" w:rsidR="00C67D6D" w:rsidRDefault="00C67D6D" w:rsidP="00332EE6">
      <w:pPr>
        <w:pStyle w:val="MAPPA-Bodytext"/>
        <w:rPr>
          <w:b/>
          <w:bCs/>
          <w:i/>
          <w:iCs/>
          <w:spacing w:val="-6"/>
        </w:rPr>
      </w:pPr>
    </w:p>
    <w:p w14:paraId="7D997D17" w14:textId="4BDCDF66" w:rsidR="00C67D6D" w:rsidRDefault="00C67D6D" w:rsidP="00332EE6">
      <w:pPr>
        <w:pStyle w:val="MAPPA-Bodytext"/>
        <w:rPr>
          <w:b/>
          <w:bCs/>
          <w:i/>
          <w:iCs/>
          <w:spacing w:val="-6"/>
          <w:sz w:val="24"/>
          <w:szCs w:val="24"/>
        </w:rPr>
      </w:pPr>
      <w:r w:rsidRPr="00C67D6D">
        <w:rPr>
          <w:b/>
          <w:bCs/>
          <w:i/>
          <w:iCs/>
          <w:spacing w:val="-6"/>
          <w:sz w:val="24"/>
          <w:szCs w:val="24"/>
        </w:rPr>
        <w:t>SMB Perspective;</w:t>
      </w:r>
      <w:r>
        <w:rPr>
          <w:b/>
          <w:bCs/>
          <w:i/>
          <w:iCs/>
          <w:spacing w:val="-6"/>
          <w:sz w:val="24"/>
          <w:szCs w:val="24"/>
        </w:rPr>
        <w:t xml:space="preserve">  PREVENT</w:t>
      </w:r>
    </w:p>
    <w:p w14:paraId="19E78033" w14:textId="6C46978A" w:rsidR="00C67D6D" w:rsidRDefault="001531C2" w:rsidP="00C67D6D">
      <w:pPr>
        <w:rPr>
          <w:rFonts w:ascii="Arial" w:hAnsi="Arial" w:cs="Arial"/>
        </w:rPr>
      </w:pPr>
      <w:r>
        <w:rPr>
          <w:rFonts w:ascii="Arial" w:hAnsi="Arial" w:cs="Arial"/>
        </w:rPr>
        <w:t xml:space="preserve">The </w:t>
      </w:r>
      <w:r w:rsidR="00C67D6D" w:rsidRPr="001531C2">
        <w:rPr>
          <w:rFonts w:ascii="Arial" w:hAnsi="Arial" w:cs="Arial"/>
        </w:rPr>
        <w:t>Kent and Medway Prevent Co</w:t>
      </w:r>
      <w:r>
        <w:rPr>
          <w:rFonts w:ascii="Arial" w:hAnsi="Arial" w:cs="Arial"/>
        </w:rPr>
        <w:t>-</w:t>
      </w:r>
      <w:r w:rsidR="00C67D6D" w:rsidRPr="001531C2">
        <w:rPr>
          <w:rFonts w:ascii="Arial" w:hAnsi="Arial" w:cs="Arial"/>
        </w:rPr>
        <w:t xml:space="preserve">ordinator attends all relevant MAPPA cases. </w:t>
      </w:r>
    </w:p>
    <w:p w14:paraId="6B3078D9" w14:textId="77777777" w:rsidR="001531C2" w:rsidRPr="001531C2" w:rsidRDefault="001531C2" w:rsidP="00C67D6D">
      <w:pPr>
        <w:rPr>
          <w:rFonts w:ascii="Arial" w:hAnsi="Arial" w:cs="Arial"/>
          <w:sz w:val="22"/>
          <w:szCs w:val="22"/>
        </w:rPr>
      </w:pPr>
    </w:p>
    <w:p w14:paraId="6620B6A1" w14:textId="66ABD025" w:rsidR="00C67D6D" w:rsidRPr="001531C2" w:rsidRDefault="00C67D6D" w:rsidP="001531C2">
      <w:pPr>
        <w:rPr>
          <w:rFonts w:ascii="Arial" w:hAnsi="Arial" w:cs="Arial"/>
        </w:rPr>
        <w:sectPr w:rsidR="00C67D6D" w:rsidRPr="001531C2" w:rsidSect="00867C9E">
          <w:type w:val="continuous"/>
          <w:pgSz w:w="11905" w:h="16837" w:code="9"/>
          <w:pgMar w:top="720" w:right="720" w:bottom="720" w:left="720" w:header="720" w:footer="567" w:gutter="0"/>
          <w:cols w:num="2" w:space="720"/>
          <w:noEndnote/>
        </w:sectPr>
      </w:pPr>
      <w:r w:rsidRPr="001531C2">
        <w:rPr>
          <w:rFonts w:ascii="Arial" w:hAnsi="Arial" w:cs="Arial"/>
        </w:rPr>
        <w:t xml:space="preserve">The </w:t>
      </w:r>
      <w:r w:rsidR="001531C2">
        <w:rPr>
          <w:rFonts w:ascii="Arial" w:hAnsi="Arial" w:cs="Arial"/>
        </w:rPr>
        <w:t>attendance of</w:t>
      </w:r>
      <w:r w:rsidRPr="001531C2">
        <w:rPr>
          <w:rFonts w:ascii="Arial" w:hAnsi="Arial" w:cs="Arial"/>
        </w:rPr>
        <w:t xml:space="preserve"> the Prevent Co</w:t>
      </w:r>
      <w:r w:rsidR="001531C2">
        <w:rPr>
          <w:rFonts w:ascii="Arial" w:hAnsi="Arial" w:cs="Arial"/>
        </w:rPr>
        <w:t>-</w:t>
      </w:r>
      <w:r w:rsidRPr="001531C2">
        <w:rPr>
          <w:rFonts w:ascii="Arial" w:hAnsi="Arial" w:cs="Arial"/>
        </w:rPr>
        <w:t>ordinator leads to relevant and timely information being shared</w:t>
      </w:r>
      <w:r w:rsidR="001531C2">
        <w:rPr>
          <w:rFonts w:ascii="Arial" w:hAnsi="Arial" w:cs="Arial"/>
        </w:rPr>
        <w:t>, including in cases that may</w:t>
      </w:r>
      <w:r w:rsidRPr="001531C2">
        <w:rPr>
          <w:rFonts w:ascii="Arial" w:hAnsi="Arial" w:cs="Arial"/>
        </w:rPr>
        <w:t xml:space="preserve"> sit in the Channel Panel or Police Lead spaces.  This allows for</w:t>
      </w:r>
      <w:r w:rsidR="001531C2">
        <w:rPr>
          <w:rFonts w:ascii="Arial" w:hAnsi="Arial" w:cs="Arial"/>
        </w:rPr>
        <w:t xml:space="preserve"> robust</w:t>
      </w:r>
      <w:r w:rsidRPr="001531C2">
        <w:rPr>
          <w:rFonts w:ascii="Arial" w:hAnsi="Arial" w:cs="Arial"/>
        </w:rPr>
        <w:t xml:space="preserve"> multi</w:t>
      </w:r>
      <w:r w:rsidR="001531C2">
        <w:rPr>
          <w:rFonts w:ascii="Arial" w:hAnsi="Arial" w:cs="Arial"/>
        </w:rPr>
        <w:t>-</w:t>
      </w:r>
      <w:r w:rsidRPr="001531C2">
        <w:rPr>
          <w:rFonts w:ascii="Arial" w:hAnsi="Arial" w:cs="Arial"/>
        </w:rPr>
        <w:t xml:space="preserve">agency working and transparency. </w:t>
      </w:r>
      <w:r w:rsidR="001531C2">
        <w:rPr>
          <w:rFonts w:ascii="Arial" w:hAnsi="Arial" w:cs="Arial"/>
        </w:rPr>
        <w:t xml:space="preserve">Attendance at MAPPA Panels and close multi-agency relationships has also supported the safe transition of those cases that have transferred </w:t>
      </w:r>
      <w:r w:rsidRPr="001531C2">
        <w:rPr>
          <w:rFonts w:ascii="Arial" w:hAnsi="Arial" w:cs="Arial"/>
        </w:rPr>
        <w:t>from Channel Panel to MAPPA due to the level of risk</w:t>
      </w:r>
      <w:r w:rsidR="001531C2">
        <w:rPr>
          <w:rFonts w:ascii="Arial" w:hAnsi="Arial" w:cs="Arial"/>
        </w:rPr>
        <w:t xml:space="preserve">.  </w:t>
      </w: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36576F" w:rsidP="00332EE6">
      <w:pPr>
        <w:pStyle w:val="MAPPA-Bodytext"/>
        <w:jc w:val="center"/>
        <w:rPr>
          <w:b/>
          <w:color w:val="007DC3"/>
          <w:sz w:val="26"/>
          <w:szCs w:val="26"/>
          <w:lang w:val="en-GB"/>
        </w:rPr>
      </w:pPr>
      <w:hyperlink r:id="rId21"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146F1FC9" w:rsidR="00782444" w:rsidRPr="00B01E0C" w:rsidRDefault="00782444" w:rsidP="00332EE6">
      <w:pPr>
        <w:pStyle w:val="MAPPA-Bodytext"/>
        <w:jc w:val="center"/>
        <w:rPr>
          <w:b/>
          <w:color w:val="7030A0"/>
          <w:sz w:val="26"/>
          <w:szCs w:val="26"/>
          <w:lang w:val="en-GB"/>
        </w:rPr>
      </w:pPr>
    </w:p>
    <w:p w14:paraId="3AD48DFA" w14:textId="3DB4955A"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2"/>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184D6788" w14:textId="5B0B16CB" w:rsidR="00DE3907" w:rsidRDefault="0052760C" w:rsidP="005A1B9A">
      <w:pPr>
        <w:jc w:val="center"/>
        <w:rPr>
          <w:rFonts w:ascii="Arial" w:hAnsi="Arial" w:cs="Arial"/>
          <w:b/>
          <w:bCs/>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r w:rsidR="00A246EF">
        <w:rPr>
          <w:rFonts w:ascii="Arial" w:hAnsi="Arial" w:cs="Arial"/>
          <w:b/>
          <w:bCs/>
          <w:color w:val="7030A0"/>
        </w:rPr>
        <w:t xml:space="preserve"> </w:t>
      </w:r>
    </w:p>
    <w:p w14:paraId="0B610B9F" w14:textId="77777777" w:rsidR="003D6962" w:rsidRDefault="003D6962" w:rsidP="005A1B9A">
      <w:pPr>
        <w:jc w:val="center"/>
        <w:rPr>
          <w:rFonts w:ascii="Arial" w:hAnsi="Arial" w:cs="Arial"/>
          <w:b/>
          <w:bCs/>
          <w:color w:val="7030A0"/>
        </w:rPr>
      </w:pPr>
    </w:p>
    <w:p w14:paraId="2F87235F" w14:textId="64577AB7" w:rsidR="003D6962" w:rsidRDefault="003D6962" w:rsidP="005A1B9A">
      <w:pPr>
        <w:jc w:val="center"/>
        <w:rPr>
          <w:rFonts w:ascii="Arial" w:hAnsi="Arial" w:cs="Arial"/>
          <w:b/>
          <w:bCs/>
          <w:color w:val="7030A0"/>
        </w:rPr>
      </w:pPr>
      <w:r w:rsidRPr="00AB11A4">
        <w:rPr>
          <w:noProof/>
          <w:color w:val="7030A0"/>
          <w:spacing w:val="-6"/>
        </w:rPr>
        <w:drawing>
          <wp:inline distT="0" distB="0" distL="0" distR="0" wp14:anchorId="0B0BB7F1" wp14:editId="1F77AD5D">
            <wp:extent cx="1910080" cy="906780"/>
            <wp:effectExtent l="0" t="0" r="0" b="7620"/>
            <wp:docPr id="3" name="Picture 3" descr="Ken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nt Pol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0080" cy="906780"/>
                    </a:xfrm>
                    <a:prstGeom prst="rect">
                      <a:avLst/>
                    </a:prstGeom>
                    <a:noFill/>
                  </pic:spPr>
                </pic:pic>
              </a:graphicData>
            </a:graphic>
          </wp:inline>
        </w:drawing>
      </w:r>
    </w:p>
    <w:p w14:paraId="2C4C25B0" w14:textId="33EE19B1" w:rsidR="003D6962" w:rsidRDefault="003D6962" w:rsidP="005A1B9A">
      <w:pPr>
        <w:jc w:val="center"/>
        <w:rPr>
          <w:rFonts w:ascii="Arial" w:hAnsi="Arial" w:cs="Arial"/>
          <w:b/>
          <w:bCs/>
          <w:color w:val="7030A0"/>
        </w:rPr>
      </w:pPr>
    </w:p>
    <w:p w14:paraId="62A480DD" w14:textId="597E2C57" w:rsidR="003D6962" w:rsidRDefault="003D6962" w:rsidP="005A1B9A">
      <w:pPr>
        <w:jc w:val="center"/>
        <w:rPr>
          <w:rFonts w:ascii="Arial" w:hAnsi="Arial" w:cs="Arial"/>
          <w:b/>
          <w:bCs/>
          <w:color w:val="7030A0"/>
        </w:rPr>
      </w:pPr>
    </w:p>
    <w:p w14:paraId="3525EDB3" w14:textId="77777777" w:rsidR="003D6962" w:rsidRDefault="003D6962" w:rsidP="005A1B9A">
      <w:pPr>
        <w:jc w:val="center"/>
        <w:rPr>
          <w:rFonts w:ascii="Arial" w:hAnsi="Arial" w:cs="Arial"/>
          <w:b/>
          <w:bCs/>
          <w:color w:val="7030A0"/>
        </w:rPr>
      </w:pPr>
    </w:p>
    <w:p w14:paraId="679541B3" w14:textId="77777777" w:rsidR="003D6962" w:rsidRDefault="003D6962" w:rsidP="005A1B9A">
      <w:pPr>
        <w:jc w:val="center"/>
        <w:rPr>
          <w:rFonts w:ascii="Arial" w:hAnsi="Arial" w:cs="Arial"/>
          <w:b/>
          <w:bCs/>
          <w:color w:val="7030A0"/>
        </w:rPr>
      </w:pPr>
    </w:p>
    <w:p w14:paraId="657C9F92" w14:textId="77777777" w:rsidR="003D6962" w:rsidRPr="006954C2" w:rsidRDefault="003D6962" w:rsidP="005A1B9A">
      <w:pPr>
        <w:jc w:val="center"/>
        <w:rPr>
          <w:rFonts w:ascii="Arial" w:hAnsi="Arial" w:cs="Arial"/>
          <w:b/>
          <w:bCs/>
          <w:color w:val="7030A0"/>
        </w:rPr>
      </w:pPr>
    </w:p>
    <w:sectPr w:rsidR="003D6962"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1CF0"/>
    <w:rsid w:val="000A6775"/>
    <w:rsid w:val="000E2531"/>
    <w:rsid w:val="000E3453"/>
    <w:rsid w:val="000F355B"/>
    <w:rsid w:val="000F65BF"/>
    <w:rsid w:val="00105344"/>
    <w:rsid w:val="001143B7"/>
    <w:rsid w:val="00140627"/>
    <w:rsid w:val="001435D5"/>
    <w:rsid w:val="00146AC1"/>
    <w:rsid w:val="00152647"/>
    <w:rsid w:val="001531C2"/>
    <w:rsid w:val="00154D3E"/>
    <w:rsid w:val="00157F24"/>
    <w:rsid w:val="001676C7"/>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2A36"/>
    <w:rsid w:val="002171AC"/>
    <w:rsid w:val="00230E77"/>
    <w:rsid w:val="00233AB5"/>
    <w:rsid w:val="002351F0"/>
    <w:rsid w:val="002446A8"/>
    <w:rsid w:val="002621F5"/>
    <w:rsid w:val="0027253A"/>
    <w:rsid w:val="00274A96"/>
    <w:rsid w:val="00281FCC"/>
    <w:rsid w:val="0028255E"/>
    <w:rsid w:val="00283D9A"/>
    <w:rsid w:val="002850D6"/>
    <w:rsid w:val="0028653B"/>
    <w:rsid w:val="00296A85"/>
    <w:rsid w:val="002A5E53"/>
    <w:rsid w:val="002B3DF0"/>
    <w:rsid w:val="002C0567"/>
    <w:rsid w:val="002C2403"/>
    <w:rsid w:val="002D5862"/>
    <w:rsid w:val="002E767F"/>
    <w:rsid w:val="002F763F"/>
    <w:rsid w:val="00301085"/>
    <w:rsid w:val="00302FA6"/>
    <w:rsid w:val="00305294"/>
    <w:rsid w:val="00315A5A"/>
    <w:rsid w:val="00316362"/>
    <w:rsid w:val="00317908"/>
    <w:rsid w:val="003316A8"/>
    <w:rsid w:val="00331827"/>
    <w:rsid w:val="00331886"/>
    <w:rsid w:val="00332369"/>
    <w:rsid w:val="00332EE6"/>
    <w:rsid w:val="00334657"/>
    <w:rsid w:val="00337928"/>
    <w:rsid w:val="00347A55"/>
    <w:rsid w:val="00351A15"/>
    <w:rsid w:val="003554C4"/>
    <w:rsid w:val="0036576F"/>
    <w:rsid w:val="003668BB"/>
    <w:rsid w:val="003678A5"/>
    <w:rsid w:val="00391BEB"/>
    <w:rsid w:val="00395ED3"/>
    <w:rsid w:val="00396101"/>
    <w:rsid w:val="00397110"/>
    <w:rsid w:val="003A385F"/>
    <w:rsid w:val="003B6695"/>
    <w:rsid w:val="003C0362"/>
    <w:rsid w:val="003C36DD"/>
    <w:rsid w:val="003D3D7F"/>
    <w:rsid w:val="003D6962"/>
    <w:rsid w:val="003E0965"/>
    <w:rsid w:val="003F01F8"/>
    <w:rsid w:val="003F03F6"/>
    <w:rsid w:val="00410720"/>
    <w:rsid w:val="00416B8E"/>
    <w:rsid w:val="00421553"/>
    <w:rsid w:val="004265C9"/>
    <w:rsid w:val="0043417E"/>
    <w:rsid w:val="00441138"/>
    <w:rsid w:val="00441413"/>
    <w:rsid w:val="0044659C"/>
    <w:rsid w:val="00447974"/>
    <w:rsid w:val="00452316"/>
    <w:rsid w:val="004602E7"/>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31F5"/>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460BD"/>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C74BA"/>
    <w:rsid w:val="006D6914"/>
    <w:rsid w:val="006E09BB"/>
    <w:rsid w:val="006E2307"/>
    <w:rsid w:val="006E71D8"/>
    <w:rsid w:val="006F27F5"/>
    <w:rsid w:val="007000D6"/>
    <w:rsid w:val="0070266E"/>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14E6"/>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D458F"/>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E262F"/>
    <w:rsid w:val="009F0030"/>
    <w:rsid w:val="009F3A55"/>
    <w:rsid w:val="00A02438"/>
    <w:rsid w:val="00A06CCA"/>
    <w:rsid w:val="00A1656D"/>
    <w:rsid w:val="00A231D9"/>
    <w:rsid w:val="00A23250"/>
    <w:rsid w:val="00A246EF"/>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6696F"/>
    <w:rsid w:val="00C67D6D"/>
    <w:rsid w:val="00C83D0E"/>
    <w:rsid w:val="00C87622"/>
    <w:rsid w:val="00C91687"/>
    <w:rsid w:val="00CA2912"/>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2F60"/>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96A98"/>
    <w:rsid w:val="00EA28A2"/>
    <w:rsid w:val="00EA5086"/>
    <w:rsid w:val="00EA5D08"/>
    <w:rsid w:val="00EB26C4"/>
    <w:rsid w:val="00EB4613"/>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C9EFF59B-C50A-4172-819A-27AEB418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3688">
      <w:bodyDiv w:val="1"/>
      <w:marLeft w:val="0"/>
      <w:marRight w:val="0"/>
      <w:marTop w:val="0"/>
      <w:marBottom w:val="0"/>
      <w:divBdr>
        <w:top w:val="none" w:sz="0" w:space="0" w:color="auto"/>
        <w:left w:val="none" w:sz="0" w:space="0" w:color="auto"/>
        <w:bottom w:val="none" w:sz="0" w:space="0" w:color="auto"/>
        <w:right w:val="none" w:sz="0" w:space="0" w:color="auto"/>
      </w:divBdr>
    </w:div>
    <w:div w:id="330260000">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535430178">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447891825">
      <w:bodyDiv w:val="1"/>
      <w:marLeft w:val="0"/>
      <w:marRight w:val="0"/>
      <w:marTop w:val="0"/>
      <w:marBottom w:val="0"/>
      <w:divBdr>
        <w:top w:val="none" w:sz="0" w:space="0" w:color="auto"/>
        <w:left w:val="none" w:sz="0" w:space="0" w:color="auto"/>
        <w:bottom w:val="none" w:sz="0" w:space="0" w:color="auto"/>
        <w:right w:val="none" w:sz="0" w:space="0" w:color="auto"/>
      </w:divBdr>
    </w:div>
    <w:div w:id="1609704131">
      <w:bodyDiv w:val="1"/>
      <w:marLeft w:val="0"/>
      <w:marRight w:val="0"/>
      <w:marTop w:val="0"/>
      <w:marBottom w:val="0"/>
      <w:divBdr>
        <w:top w:val="none" w:sz="0" w:space="0" w:color="auto"/>
        <w:left w:val="none" w:sz="0" w:space="0" w:color="auto"/>
        <w:bottom w:val="none" w:sz="0" w:space="0" w:color="auto"/>
        <w:right w:val="none" w:sz="0" w:space="0" w:color="auto"/>
      </w:divBdr>
    </w:div>
    <w:div w:id="1651400061">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2.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3.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14</Pages>
  <Words>3788</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5</cp:revision>
  <dcterms:created xsi:type="dcterms:W3CDTF">2023-10-03T07:15:00Z</dcterms:created>
  <dcterms:modified xsi:type="dcterms:W3CDTF">2023-10-23T11:30:00Z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