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bookmarkStart w:id="0" w:name="_Hlk147403797"/>
      <w:bookmarkEnd w:id="0"/>
      <w:r w:rsidRPr="005526F6">
        <w:rPr>
          <w:noProof/>
        </w:rPr>
        <w:drawing>
          <wp:inline distT="0" distB="0" distL="0" distR="0" wp14:anchorId="35AA6594" wp14:editId="56590754">
            <wp:extent cx="2509048" cy="923925"/>
            <wp:effectExtent l="0" t="0" r="5715" b="0"/>
            <wp:docPr id="6" name="Picture 1"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1"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3" o:spid="_x0000_s1026" type="#_x0000_t202" alt="&quot;&quot;" style="position:absolute;margin-left:11.8pt;margin-top:-701.6pt;width:452.25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4A8D9BE1" w:rsidR="003C0362" w:rsidRPr="00D5409B" w:rsidRDefault="000F01E9" w:rsidP="00D5409B">
      <w:pPr>
        <w:pStyle w:val="Heading1"/>
        <w:rPr>
          <w:rStyle w:val="IntenseReference"/>
          <w:b w:val="0"/>
          <w:bCs w:val="0"/>
          <w:smallCaps w:val="0"/>
          <w:color w:val="7030A0"/>
          <w:spacing w:val="0"/>
        </w:rPr>
      </w:pPr>
      <w:r>
        <w:rPr>
          <w:rStyle w:val="IntenseReference"/>
          <w:b w:val="0"/>
          <w:bCs w:val="0"/>
          <w:smallCaps w:val="0"/>
          <w:color w:val="7030A0"/>
          <w:spacing w:val="0"/>
        </w:rPr>
        <w:t>Dyfed</w:t>
      </w:r>
      <w:r w:rsidR="003D50F9">
        <w:rPr>
          <w:rStyle w:val="IntenseReference"/>
          <w:b w:val="0"/>
          <w:bCs w:val="0"/>
          <w:smallCaps w:val="0"/>
          <w:color w:val="7030A0"/>
          <w:spacing w:val="0"/>
        </w:rPr>
        <w:t xml:space="preserve"> </w:t>
      </w:r>
      <w:r>
        <w:rPr>
          <w:rStyle w:val="IntenseReference"/>
          <w:b w:val="0"/>
          <w:bCs w:val="0"/>
          <w:smallCaps w:val="0"/>
          <w:color w:val="7030A0"/>
          <w:spacing w:val="0"/>
        </w:rPr>
        <w:t>Powys MAPPA</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D7CD460" w:rsidR="009311B4" w:rsidRPr="0069414D" w:rsidRDefault="003C0362" w:rsidP="008D1CDE">
      <w:pPr>
        <w:pStyle w:val="Heading1"/>
        <w:sectPr w:rsidR="009311B4" w:rsidRPr="0069414D" w:rsidSect="00740AED">
          <w:headerReference w:type="even" r:id="rId13"/>
          <w:headerReference w:type="default" r:id="rId14"/>
          <w:footerReference w:type="even" r:id="rId15"/>
          <w:footerReference w:type="default" r:id="rId16"/>
          <w:headerReference w:type="first" r:id="rId17"/>
          <w:footerReference w:type="first" r:id="rId18"/>
          <w:pgSz w:w="11905" w:h="16837" w:code="9"/>
          <w:pgMar w:top="720" w:right="720" w:bottom="720" w:left="0" w:header="720" w:footer="567" w:gutter="0"/>
          <w:cols w:space="720"/>
          <w:noEndnote/>
        </w:sectPr>
      </w:pPr>
      <w:r w:rsidRPr="0069414D">
        <w:t>Annual Report</w:t>
      </w:r>
      <w:r w:rsidR="000F01E9">
        <w:t xml:space="preserve"> 202</w:t>
      </w:r>
      <w:r w:rsidR="003A5ED2">
        <w:t>2</w:t>
      </w:r>
      <w:r w:rsidR="000F01E9">
        <w:t>-2</w:t>
      </w:r>
      <w:r w:rsidR="003A5ED2">
        <w:t>3</w:t>
      </w:r>
    </w:p>
    <w:p w14:paraId="114EE9B3" w14:textId="7FC958BB" w:rsidR="00332EE6" w:rsidRPr="0069414D" w:rsidRDefault="00332EE6" w:rsidP="008D1CDE">
      <w:pPr>
        <w:pStyle w:val="Heading1"/>
        <w:jc w:val="left"/>
      </w:pPr>
      <w:r w:rsidRPr="0069414D">
        <w:lastRenderedPageBreak/>
        <w:t>Intro</w:t>
      </w:r>
      <w:r w:rsidR="000F01E9">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9"/>
          <w:pgSz w:w="11905" w:h="16837" w:code="9"/>
          <w:pgMar w:top="720" w:right="720" w:bottom="720" w:left="720" w:header="720" w:footer="567" w:gutter="0"/>
          <w:pgNumType w:start="1"/>
          <w:cols w:space="720"/>
          <w:noEndnote/>
          <w:titlePg/>
        </w:sectPr>
      </w:pPr>
    </w:p>
    <w:p w14:paraId="53917965" w14:textId="21DC0303" w:rsidR="009221C1" w:rsidRPr="009545AD" w:rsidRDefault="009221C1" w:rsidP="009221C1">
      <w:pPr>
        <w:autoSpaceDE w:val="0"/>
        <w:autoSpaceDN w:val="0"/>
        <w:rPr>
          <w:rFonts w:ascii="Arial" w:hAnsi="Arial" w:cs="Arial"/>
        </w:rPr>
      </w:pPr>
      <w:r w:rsidRPr="009545AD">
        <w:rPr>
          <w:rFonts w:ascii="Arial" w:hAnsi="Arial" w:cs="Arial"/>
        </w:rPr>
        <w:t>We are pleased to introduce the 2022/23 MAPPA Annual Report for the Dyfed Powys Multi-Agency Public Protection Arrangements (MAPPA) Strategic Management Board.</w:t>
      </w:r>
    </w:p>
    <w:p w14:paraId="0EEB00D2" w14:textId="77777777" w:rsidR="009221C1" w:rsidRPr="009545AD" w:rsidRDefault="009221C1" w:rsidP="009221C1">
      <w:pPr>
        <w:autoSpaceDE w:val="0"/>
        <w:autoSpaceDN w:val="0"/>
        <w:rPr>
          <w:rFonts w:ascii="Arial" w:hAnsi="Arial" w:cs="Arial"/>
        </w:rPr>
      </w:pPr>
    </w:p>
    <w:p w14:paraId="688B25B2" w14:textId="77777777" w:rsidR="009221C1" w:rsidRPr="009545AD" w:rsidRDefault="009221C1" w:rsidP="009221C1">
      <w:pPr>
        <w:autoSpaceDE w:val="0"/>
        <w:autoSpaceDN w:val="0"/>
        <w:rPr>
          <w:rFonts w:ascii="Arial" w:hAnsi="Arial" w:cs="Arial"/>
        </w:rPr>
      </w:pPr>
      <w:r w:rsidRPr="009545AD">
        <w:rPr>
          <w:rFonts w:ascii="Arial" w:hAnsi="Arial" w:cs="Arial"/>
        </w:rPr>
        <w:t xml:space="preserve">Our commitment to MAPPA continues to be at the forefront of our service this year, with the shared aim of organisations working collaboratively to prioritise keeping people safe and protecting communities from harm.  </w:t>
      </w:r>
    </w:p>
    <w:p w14:paraId="3D31FA5A" w14:textId="77777777" w:rsidR="009221C1" w:rsidRPr="009545AD" w:rsidRDefault="009221C1" w:rsidP="009221C1">
      <w:pPr>
        <w:autoSpaceDE w:val="0"/>
        <w:autoSpaceDN w:val="0"/>
        <w:rPr>
          <w:rFonts w:ascii="Arial" w:hAnsi="Arial" w:cs="Arial"/>
        </w:rPr>
      </w:pPr>
    </w:p>
    <w:p w14:paraId="415E1C9F" w14:textId="77777777" w:rsidR="009221C1" w:rsidRPr="009545AD" w:rsidRDefault="009221C1" w:rsidP="009221C1">
      <w:pPr>
        <w:autoSpaceDE w:val="0"/>
        <w:autoSpaceDN w:val="0"/>
        <w:rPr>
          <w:rFonts w:ascii="Arial" w:hAnsi="Arial" w:cs="Arial"/>
        </w:rPr>
      </w:pPr>
      <w:r w:rsidRPr="009545AD">
        <w:rPr>
          <w:rFonts w:ascii="Arial" w:hAnsi="Arial" w:cs="Arial"/>
        </w:rPr>
        <w:t xml:space="preserve">The report provides members of the public the ability to understand some of the work being undertaken by the MAPPA Strategic Management Board to drive improvements in the management of individuals presenting the most serious risk of harm. Outlining statistical information on individuals who are managed under MAPPA over the last business year. The most serious risk offenders form a small percentage of the crimes dealt with by the four constabularies across Wales but can result in an unquantifiable bearing on victims. </w:t>
      </w:r>
    </w:p>
    <w:p w14:paraId="527CD601" w14:textId="77777777" w:rsidR="009221C1" w:rsidRPr="009545AD" w:rsidRDefault="009221C1" w:rsidP="009221C1">
      <w:pPr>
        <w:autoSpaceDE w:val="0"/>
        <w:autoSpaceDN w:val="0"/>
        <w:rPr>
          <w:rFonts w:ascii="Arial" w:hAnsi="Arial" w:cs="Arial"/>
        </w:rPr>
      </w:pPr>
    </w:p>
    <w:p w14:paraId="1A2AC0D4" w14:textId="6DB27F7F" w:rsidR="009221C1" w:rsidRPr="009545AD" w:rsidRDefault="009221C1" w:rsidP="009221C1">
      <w:pPr>
        <w:autoSpaceDE w:val="0"/>
        <w:autoSpaceDN w:val="0"/>
        <w:rPr>
          <w:rFonts w:ascii="Arial" w:hAnsi="Arial" w:cs="Arial"/>
        </w:rPr>
      </w:pPr>
      <w:r w:rsidRPr="009545AD">
        <w:rPr>
          <w:rFonts w:ascii="Arial" w:hAnsi="Arial" w:cs="Arial"/>
        </w:rPr>
        <w:t xml:space="preserve">This year we have welcomed the passing of the </w:t>
      </w:r>
      <w:r w:rsidR="00C10AB7" w:rsidRPr="009545AD">
        <w:rPr>
          <w:rFonts w:ascii="Arial" w:hAnsi="Arial" w:cs="Arial"/>
        </w:rPr>
        <w:t>20-year</w:t>
      </w:r>
      <w:r w:rsidRPr="009545AD">
        <w:rPr>
          <w:rFonts w:ascii="Arial" w:hAnsi="Arial" w:cs="Arial"/>
        </w:rPr>
        <w:t xml:space="preserve"> anniversary of the Multi-Agency Public Protection Arrangements and are grateful to all organisations for their dedication and commitment.  We have received the outcome of the Joint Thematic Inspection on MAPPA in July 2022.  This has supported the identification of National, Agency and Strategic Management Board recommendations to enhance the effectiveness of MAPPA overall.  Also, published this year has been the National MAPPA Research findings in April 2023, which was a national study into the effectiveness of MAPPA. This evidenced that re-offending rates for individuals supervised under MAPPA arrangements are lower than those reported in proven re-offending statistics.  This is extremely positive and illustrates the importance of MAPPA in protecting victims and working towards reducing re-offending.</w:t>
      </w:r>
    </w:p>
    <w:p w14:paraId="75343E08" w14:textId="77777777" w:rsidR="009221C1" w:rsidRPr="009545AD" w:rsidRDefault="009221C1" w:rsidP="009221C1">
      <w:pPr>
        <w:autoSpaceDE w:val="0"/>
        <w:autoSpaceDN w:val="0"/>
        <w:rPr>
          <w:rFonts w:ascii="Arial" w:hAnsi="Arial" w:cs="Arial"/>
        </w:rPr>
      </w:pPr>
    </w:p>
    <w:p w14:paraId="703CC1DF" w14:textId="1E6432F7" w:rsidR="009221C1" w:rsidRPr="009545AD" w:rsidRDefault="009221C1" w:rsidP="009221C1">
      <w:pPr>
        <w:autoSpaceDE w:val="0"/>
        <w:autoSpaceDN w:val="0"/>
        <w:rPr>
          <w:rFonts w:ascii="Arial" w:hAnsi="Arial" w:cs="Arial"/>
        </w:rPr>
      </w:pPr>
      <w:r w:rsidRPr="009545AD">
        <w:rPr>
          <w:rFonts w:ascii="Arial" w:hAnsi="Arial" w:cs="Arial"/>
        </w:rPr>
        <w:t>Learning is at the heart of our organisation, Responsible Authorities (Police and Prison), Duty to Co-operate and other agencies. Our business priorities this year, through the Strategic Management Board and MAPPA Co</w:t>
      </w:r>
      <w:r w:rsidR="00E90AB4">
        <w:rPr>
          <w:rFonts w:ascii="Arial" w:hAnsi="Arial" w:cs="Arial"/>
        </w:rPr>
        <w:t>o</w:t>
      </w:r>
      <w:r w:rsidRPr="009545AD">
        <w:rPr>
          <w:rFonts w:ascii="Arial" w:hAnsi="Arial" w:cs="Arial"/>
        </w:rPr>
        <w:t>rdinators has been to respond to the recommendations within the HMIP report.  Developing a joint learning culture across agencies, to maximise innovation and improvements to MAPPA locally.  Providing the local communities we serve</w:t>
      </w:r>
      <w:r w:rsidR="00E90AB4">
        <w:rPr>
          <w:rFonts w:ascii="Arial" w:hAnsi="Arial" w:cs="Arial"/>
        </w:rPr>
        <w:t>,</w:t>
      </w:r>
      <w:r w:rsidRPr="009545AD">
        <w:rPr>
          <w:rFonts w:ascii="Arial" w:hAnsi="Arial" w:cs="Arial"/>
        </w:rPr>
        <w:t xml:space="preserve"> with assurance and accountability of our service.  MAPPA Co</w:t>
      </w:r>
      <w:r w:rsidR="00E90AB4">
        <w:rPr>
          <w:rFonts w:ascii="Arial" w:hAnsi="Arial" w:cs="Arial"/>
        </w:rPr>
        <w:t>o</w:t>
      </w:r>
      <w:r w:rsidRPr="009545AD">
        <w:rPr>
          <w:rFonts w:ascii="Arial" w:hAnsi="Arial" w:cs="Arial"/>
        </w:rPr>
        <w:t>rdinators have continued with the provision of training to all agencies, ensuring the imbedding of the updates to MAPPA Guidance.</w:t>
      </w:r>
    </w:p>
    <w:p w14:paraId="378E6220" w14:textId="13FF9C94" w:rsidR="000F01E9" w:rsidRDefault="000F01E9" w:rsidP="000F01E9">
      <w:pPr>
        <w:autoSpaceDE w:val="0"/>
        <w:autoSpaceDN w:val="0"/>
        <w:rPr>
          <w:rFonts w:ascii="Arial" w:hAnsi="Arial" w:cs="Arial"/>
          <w:sz w:val="20"/>
          <w:szCs w:val="20"/>
        </w:rPr>
      </w:pPr>
    </w:p>
    <w:p w14:paraId="741EDD02" w14:textId="77777777" w:rsidR="000F01E9" w:rsidRPr="00913822" w:rsidRDefault="000F01E9" w:rsidP="000F01E9">
      <w:pPr>
        <w:pStyle w:val="MAPPA-Bodytext"/>
        <w:spacing w:after="0" w:line="240" w:lineRule="auto"/>
        <w:rPr>
          <w:b/>
          <w:bCs/>
          <w:color w:val="7030A0"/>
          <w:sz w:val="28"/>
          <w:szCs w:val="28"/>
        </w:rPr>
      </w:pPr>
      <w:r w:rsidRPr="00913822">
        <w:rPr>
          <w:b/>
          <w:bCs/>
          <w:color w:val="7030A0"/>
          <w:sz w:val="28"/>
          <w:szCs w:val="28"/>
        </w:rPr>
        <w:t xml:space="preserve">Nicola Davies, </w:t>
      </w:r>
    </w:p>
    <w:p w14:paraId="5F11921B" w14:textId="77777777" w:rsidR="000F01E9" w:rsidRPr="00913822" w:rsidRDefault="000F01E9" w:rsidP="000F01E9">
      <w:pPr>
        <w:pStyle w:val="MAPPA-Bodytext"/>
        <w:spacing w:after="0" w:line="240" w:lineRule="auto"/>
        <w:rPr>
          <w:b/>
          <w:bCs/>
          <w:color w:val="7030A0"/>
          <w:sz w:val="28"/>
          <w:szCs w:val="28"/>
        </w:rPr>
      </w:pPr>
      <w:r w:rsidRPr="00913822">
        <w:rPr>
          <w:b/>
          <w:bCs/>
          <w:color w:val="7030A0"/>
          <w:sz w:val="28"/>
          <w:szCs w:val="28"/>
        </w:rPr>
        <w:t xml:space="preserve">Wales Divisional Director </w:t>
      </w:r>
    </w:p>
    <w:p w14:paraId="401F03BB" w14:textId="3328D833" w:rsidR="000F01E9" w:rsidRPr="00913822" w:rsidRDefault="000F01E9" w:rsidP="000F01E9">
      <w:pPr>
        <w:pStyle w:val="MAPPA-Bodytext"/>
        <w:spacing w:after="0" w:line="240" w:lineRule="auto"/>
        <w:rPr>
          <w:b/>
          <w:bCs/>
          <w:color w:val="7030A0"/>
          <w:sz w:val="28"/>
          <w:szCs w:val="28"/>
        </w:rPr>
      </w:pPr>
      <w:r w:rsidRPr="00913822">
        <w:rPr>
          <w:b/>
          <w:bCs/>
          <w:color w:val="7030A0"/>
          <w:sz w:val="28"/>
          <w:szCs w:val="28"/>
        </w:rPr>
        <w:t xml:space="preserve">Probation Service </w:t>
      </w:r>
    </w:p>
    <w:p w14:paraId="50269B41" w14:textId="77777777" w:rsidR="000F01E9" w:rsidRPr="00913822" w:rsidRDefault="000F01E9" w:rsidP="000F01E9">
      <w:pPr>
        <w:autoSpaceDE w:val="0"/>
        <w:autoSpaceDN w:val="0"/>
        <w:rPr>
          <w:rFonts w:ascii="Arial" w:hAnsi="Arial" w:cs="Arial"/>
          <w:b/>
          <w:bCs/>
          <w:color w:val="7030A0"/>
          <w:sz w:val="20"/>
          <w:szCs w:val="20"/>
        </w:rPr>
      </w:pPr>
    </w:p>
    <w:p w14:paraId="6A640750" w14:textId="1A798246" w:rsidR="000F01E9" w:rsidRDefault="000F01E9" w:rsidP="000F01E9">
      <w:pPr>
        <w:autoSpaceDE w:val="0"/>
        <w:autoSpaceDN w:val="0"/>
        <w:rPr>
          <w:rFonts w:ascii="Arial" w:hAnsi="Arial" w:cs="Arial"/>
          <w:sz w:val="20"/>
          <w:szCs w:val="20"/>
        </w:rPr>
      </w:pPr>
    </w:p>
    <w:p w14:paraId="428774B9" w14:textId="6195A702" w:rsidR="000F01E9" w:rsidRDefault="000F01E9" w:rsidP="000F01E9">
      <w:pPr>
        <w:autoSpaceDE w:val="0"/>
        <w:autoSpaceDN w:val="0"/>
        <w:rPr>
          <w:rFonts w:ascii="Arial" w:hAnsi="Arial" w:cs="Arial"/>
          <w:sz w:val="20"/>
          <w:szCs w:val="20"/>
        </w:rPr>
      </w:pPr>
      <w:r>
        <w:rPr>
          <w:rFonts w:ascii="Arial" w:hAnsi="Arial" w:cs="Arial"/>
          <w:noProof/>
          <w:color w:val="7030A0"/>
          <w:sz w:val="36"/>
          <w:szCs w:val="36"/>
        </w:rPr>
        <w:drawing>
          <wp:inline distT="0" distB="0" distL="0" distR="0" wp14:anchorId="4534F4B5" wp14:editId="025404D0">
            <wp:extent cx="2444750" cy="2519790"/>
            <wp:effectExtent l="0" t="0" r="0" b="0"/>
            <wp:docPr id="5" name="Picture 5" descr="Picture of Nicola 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icture of Nicola Davies"/>
                    <pic:cNvPicPr/>
                  </pic:nvPicPr>
                  <pic:blipFill>
                    <a:blip r:embed="rId20">
                      <a:extLst>
                        <a:ext uri="{28A0092B-C50C-407E-A947-70E740481C1C}">
                          <a14:useLocalDpi xmlns:a14="http://schemas.microsoft.com/office/drawing/2010/main" val="0"/>
                        </a:ext>
                      </a:extLst>
                    </a:blip>
                    <a:stretch>
                      <a:fillRect/>
                    </a:stretch>
                  </pic:blipFill>
                  <pic:spPr>
                    <a:xfrm>
                      <a:off x="0" y="0"/>
                      <a:ext cx="2455528" cy="2530898"/>
                    </a:xfrm>
                    <a:prstGeom prst="rect">
                      <a:avLst/>
                    </a:prstGeom>
                  </pic:spPr>
                </pic:pic>
              </a:graphicData>
            </a:graphic>
          </wp:inline>
        </w:drawing>
      </w:r>
    </w:p>
    <w:p w14:paraId="23AD3C22" w14:textId="77777777" w:rsidR="000F01E9" w:rsidRDefault="000F01E9" w:rsidP="000F01E9">
      <w:pPr>
        <w:pStyle w:val="MAPPA-Bodytext"/>
        <w:rPr>
          <w:b/>
          <w:bCs/>
          <w:sz w:val="28"/>
          <w:szCs w:val="32"/>
          <w:lang w:val="en-GB"/>
        </w:rPr>
      </w:pPr>
    </w:p>
    <w:p w14:paraId="1EAD7258" w14:textId="0E4B75AC" w:rsidR="000F01E9" w:rsidRDefault="000F01E9" w:rsidP="000F01E9">
      <w:pPr>
        <w:pStyle w:val="MAPPA-Bodytext"/>
        <w:rPr>
          <w:b/>
          <w:bCs/>
          <w:sz w:val="28"/>
          <w:szCs w:val="32"/>
          <w:lang w:val="en-GB"/>
        </w:rPr>
      </w:pPr>
    </w:p>
    <w:p w14:paraId="7E394CF1" w14:textId="0722E183" w:rsidR="000F01E9" w:rsidRDefault="00920286" w:rsidP="007B4C1E">
      <w:pPr>
        <w:pStyle w:val="MAPPA-Bodytext"/>
        <w:spacing w:line="240" w:lineRule="atLeast"/>
        <w:rPr>
          <w:noProof/>
        </w:rPr>
      </w:pPr>
      <w:r>
        <w:rPr>
          <w:noProof/>
        </w:rPr>
        <w:lastRenderedPageBreak/>
        <w:drawing>
          <wp:inline distT="0" distB="0" distL="0" distR="0" wp14:anchorId="33F1F831" wp14:editId="08A37A0E">
            <wp:extent cx="3086100" cy="4751070"/>
            <wp:effectExtent l="0" t="0" r="0" b="0"/>
            <wp:docPr id="12" name="Picture 12" descr="Picture of Richard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 of Richard Lew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4751070"/>
                    </a:xfrm>
                    <a:prstGeom prst="rect">
                      <a:avLst/>
                    </a:prstGeom>
                    <a:noFill/>
                    <a:ln>
                      <a:noFill/>
                    </a:ln>
                  </pic:spPr>
                </pic:pic>
              </a:graphicData>
            </a:graphic>
          </wp:inline>
        </w:drawing>
      </w:r>
    </w:p>
    <w:p w14:paraId="444B94FC" w14:textId="05E52A6A" w:rsidR="000F01E9" w:rsidRPr="00913822" w:rsidRDefault="00913822" w:rsidP="000F01E9">
      <w:pPr>
        <w:pStyle w:val="MAPPA-Bodytext"/>
        <w:rPr>
          <w:b/>
          <w:bCs/>
          <w:color w:val="7030A0"/>
          <w:sz w:val="28"/>
          <w:szCs w:val="32"/>
          <w:lang w:val="en-GB"/>
        </w:rPr>
      </w:pPr>
      <w:r>
        <w:rPr>
          <w:b/>
          <w:bCs/>
          <w:color w:val="7030A0"/>
          <w:sz w:val="28"/>
          <w:szCs w:val="32"/>
          <w:lang w:val="en-GB"/>
        </w:rPr>
        <w:t>Dyfed-Powys Police</w:t>
      </w:r>
    </w:p>
    <w:p w14:paraId="121A4B9A" w14:textId="77777777" w:rsidR="00770EDE" w:rsidRDefault="000F01E9" w:rsidP="000F01E9">
      <w:pPr>
        <w:pStyle w:val="MAPPA-Bodytext"/>
        <w:rPr>
          <w:b/>
          <w:bCs/>
          <w:color w:val="7030A0"/>
          <w:sz w:val="28"/>
          <w:szCs w:val="32"/>
          <w:lang w:val="en-GB"/>
        </w:rPr>
      </w:pPr>
      <w:r w:rsidRPr="00770EDE">
        <w:rPr>
          <w:b/>
          <w:bCs/>
          <w:color w:val="7030A0"/>
          <w:sz w:val="28"/>
          <w:szCs w:val="32"/>
          <w:lang w:val="en-GB"/>
        </w:rPr>
        <w:t>Chief Constable Dr Richard Lewis</w:t>
      </w:r>
      <w:r w:rsidR="00770EDE">
        <w:rPr>
          <w:b/>
          <w:bCs/>
          <w:color w:val="7030A0"/>
          <w:sz w:val="28"/>
          <w:szCs w:val="32"/>
          <w:lang w:val="en-GB"/>
        </w:rPr>
        <w:t xml:space="preserve"> </w:t>
      </w:r>
    </w:p>
    <w:p w14:paraId="657DFB4C" w14:textId="77777777" w:rsidR="00913822" w:rsidRDefault="00913822" w:rsidP="00912DD0">
      <w:pPr>
        <w:pStyle w:val="NormalWeb"/>
        <w:rPr>
          <w:rFonts w:ascii="Arial" w:hAnsi="Arial" w:cs="Arial"/>
        </w:rPr>
      </w:pPr>
    </w:p>
    <w:p w14:paraId="74BA90CD" w14:textId="77777777" w:rsidR="009545AD" w:rsidRDefault="009545AD" w:rsidP="00912DD0">
      <w:pPr>
        <w:pStyle w:val="NormalWeb"/>
        <w:rPr>
          <w:rFonts w:ascii="Arial" w:hAnsi="Arial" w:cs="Arial"/>
          <w:sz w:val="24"/>
          <w:szCs w:val="24"/>
        </w:rPr>
      </w:pPr>
    </w:p>
    <w:p w14:paraId="5E058368" w14:textId="5B03EB6E" w:rsidR="00912DD0" w:rsidRPr="009545AD" w:rsidRDefault="00912DD0" w:rsidP="00912DD0">
      <w:pPr>
        <w:pStyle w:val="NormalWeb"/>
        <w:rPr>
          <w:rFonts w:ascii="Arial" w:hAnsi="Arial" w:cs="Arial"/>
          <w:sz w:val="24"/>
          <w:szCs w:val="24"/>
        </w:rPr>
      </w:pPr>
      <w:r w:rsidRPr="009545AD">
        <w:rPr>
          <w:rFonts w:ascii="Arial" w:hAnsi="Arial" w:cs="Arial"/>
          <w:sz w:val="24"/>
          <w:szCs w:val="24"/>
        </w:rPr>
        <w:t>It has been over twenty years since the introduction of Multi-Agency Public Protection Arrangements (MAPPA) and these arrangements remain essential to promote effective information sharing and collaboration between agencies to manage our most dangerous individuals.</w:t>
      </w:r>
    </w:p>
    <w:p w14:paraId="148F1935" w14:textId="77777777" w:rsidR="00912DD0" w:rsidRPr="009545AD" w:rsidRDefault="00912DD0" w:rsidP="00912DD0">
      <w:pPr>
        <w:pStyle w:val="NormalWeb"/>
        <w:rPr>
          <w:rFonts w:ascii="Arial" w:hAnsi="Arial" w:cs="Arial"/>
          <w:sz w:val="24"/>
          <w:szCs w:val="24"/>
        </w:rPr>
      </w:pPr>
      <w:r w:rsidRPr="009545AD">
        <w:rPr>
          <w:rFonts w:ascii="Arial" w:hAnsi="Arial" w:cs="Arial"/>
          <w:sz w:val="24"/>
          <w:szCs w:val="24"/>
        </w:rPr>
        <w:t>As Chief Constable, I have set force priorities in relation to tackling drug supply, domestic abuse, rape, and serious sexual offences to sit alongside the priorities set by the PCC in his Police and Crime Plan. Whilst it is necessary to focus on the needs of the victim, it is recognised that our investigations must also be focused on the offenders - to consider the wider risks of their behaviour.</w:t>
      </w:r>
    </w:p>
    <w:p w14:paraId="50C6B35C" w14:textId="77777777" w:rsidR="00912DD0" w:rsidRPr="009545AD" w:rsidRDefault="00912DD0" w:rsidP="00912DD0">
      <w:pPr>
        <w:pStyle w:val="NormalWeb"/>
        <w:rPr>
          <w:rFonts w:ascii="Arial" w:hAnsi="Arial" w:cs="Arial"/>
          <w:sz w:val="24"/>
          <w:szCs w:val="24"/>
        </w:rPr>
      </w:pPr>
      <w:r w:rsidRPr="009545AD">
        <w:rPr>
          <w:rFonts w:ascii="Arial" w:hAnsi="Arial" w:cs="Arial"/>
          <w:sz w:val="24"/>
          <w:szCs w:val="24"/>
        </w:rPr>
        <w:t>MAPPA arrangements provide a framework for effective information sharing between agencies and identifying the root causes and risks of offending behaviour, which enables effective risk management plans to be put in place to protect our communities. This annual report highlights the work that is undertaken within Dyfed Powys and how all agencies work together for this purpose.</w:t>
      </w:r>
    </w:p>
    <w:p w14:paraId="62333CEA" w14:textId="395361AC" w:rsidR="00332EE6" w:rsidRPr="009545AD" w:rsidRDefault="00912DD0" w:rsidP="00912DD0">
      <w:pPr>
        <w:pStyle w:val="MAPPA-Bodytext"/>
        <w:rPr>
          <w:color w:val="FFFFFF"/>
          <w:sz w:val="24"/>
          <w:szCs w:val="24"/>
        </w:rPr>
      </w:pPr>
      <w:r w:rsidRPr="009545AD">
        <w:rPr>
          <w:sz w:val="24"/>
          <w:szCs w:val="28"/>
        </w:rPr>
        <w:t>Multi-agency MAPPA Conferences have been held over the past 12 months, giving professionals an opportunity to come together in person to strengthen working relationship between agencies. We will continue to examine the effectiveness of our arrangements in protecting our communities from offenders.</w:t>
      </w: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bookmarkStart w:id="1" w:name="_Hlk116033313"/>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3E71A2EA" w14:textId="77777777" w:rsidR="00332EE6" w:rsidRPr="006A45B8" w:rsidRDefault="00332EE6" w:rsidP="00332EE6">
      <w:pPr>
        <w:pStyle w:val="MAPPA-Bodytext"/>
        <w:rPr>
          <w:lang w:val="en-GB"/>
        </w:r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3A5ED2" w:rsidRDefault="00332EE6" w:rsidP="008D1CDE">
      <w:pPr>
        <w:pStyle w:val="Style1"/>
        <w:rPr>
          <w:b/>
          <w:bCs/>
        </w:rPr>
      </w:pPr>
      <w:r w:rsidRPr="003A5ED2">
        <w:rPr>
          <w:b/>
          <w:bCs/>
        </w:rPr>
        <w:t>MAPPA background</w:t>
      </w:r>
    </w:p>
    <w:p w14:paraId="2A7E2DEF" w14:textId="14349C11" w:rsidR="003A5ED2" w:rsidRPr="00206B09" w:rsidRDefault="003A5ED2" w:rsidP="003A5ED2">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Pr>
          <w:sz w:val="24"/>
          <w:szCs w:val="24"/>
          <w:lang w:val="en-GB"/>
        </w:rPr>
        <w:t xml:space="preserve">individuals who have committed </w:t>
      </w:r>
      <w:r w:rsidRPr="00206B09">
        <w:rPr>
          <w:sz w:val="24"/>
          <w:szCs w:val="24"/>
          <w:lang w:val="en-GB"/>
        </w:rPr>
        <w:t xml:space="preserve">the most serious sexual, </w:t>
      </w:r>
      <w:r w:rsidR="00C10AB7" w:rsidRPr="00206B09">
        <w:rPr>
          <w:sz w:val="24"/>
          <w:szCs w:val="24"/>
          <w:lang w:val="en-GB"/>
        </w:rPr>
        <w:t>violent,</w:t>
      </w:r>
      <w:r w:rsidRPr="00206B09">
        <w:rPr>
          <w:sz w:val="24"/>
          <w:szCs w:val="24"/>
          <w:lang w:val="en-GB"/>
        </w:rPr>
        <w:t xml:space="preserve"> and terrorist offen</w:t>
      </w:r>
      <w:r>
        <w:rPr>
          <w:sz w:val="24"/>
          <w:szCs w:val="24"/>
          <w:lang w:val="en-GB"/>
        </w:rPr>
        <w:t>ces</w:t>
      </w:r>
      <w:r w:rsidRPr="00206B09">
        <w:rPr>
          <w:sz w:val="24"/>
          <w:szCs w:val="24"/>
          <w:lang w:val="en-GB"/>
        </w:rPr>
        <w:t xml:space="preserve"> (MAPPA-eligible </w:t>
      </w:r>
      <w:r>
        <w:rPr>
          <w:sz w:val="24"/>
          <w:szCs w:val="24"/>
          <w:lang w:val="en-GB"/>
        </w:rPr>
        <w:t>individuals</w:t>
      </w:r>
      <w:r w:rsidRPr="00206B09">
        <w:rPr>
          <w:sz w:val="24"/>
          <w:szCs w:val="24"/>
          <w:lang w:val="en-GB"/>
        </w:rPr>
        <w:t>) under the provisions of sections 325 to 327B of the Criminal Justice Act 2003.</w:t>
      </w:r>
    </w:p>
    <w:p w14:paraId="45B503BD" w14:textId="77777777" w:rsidR="003A5ED2" w:rsidRPr="00206B09" w:rsidRDefault="003A5ED2" w:rsidP="003A5ED2">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4C5D424D" w14:textId="77777777" w:rsidR="003A5ED2" w:rsidRPr="00206B09" w:rsidRDefault="003A5ED2" w:rsidP="003A5ED2">
      <w:pPr>
        <w:pStyle w:val="MAPPA-Bodytext-numbered"/>
        <w:ind w:left="0" w:firstLine="0"/>
        <w:rPr>
          <w:sz w:val="24"/>
          <w:szCs w:val="24"/>
          <w:lang w:val="en-GB"/>
        </w:rPr>
      </w:pPr>
      <w:r w:rsidRPr="00206B09">
        <w:rPr>
          <w:sz w:val="24"/>
          <w:szCs w:val="24"/>
          <w:lang w:val="en-GB"/>
        </w:rPr>
        <w:t>A number of other agencies are under a Duty to Co-operate (DTC) with the Responsible Authority. These include Social Services, Health Services, Youth Offending Teams, Department for Work and Pensions and Local Housing and Education Authorities.</w:t>
      </w:r>
    </w:p>
    <w:p w14:paraId="30C5593E" w14:textId="77777777" w:rsidR="003A5ED2" w:rsidRPr="00206B09" w:rsidRDefault="003A5ED2" w:rsidP="003A5ED2">
      <w:pPr>
        <w:pStyle w:val="MAPPA-Bodytext-numbered"/>
        <w:ind w:left="0" w:firstLine="0"/>
        <w:rPr>
          <w:sz w:val="24"/>
          <w:szCs w:val="24"/>
          <w:lang w:val="en-GB"/>
        </w:rPr>
      </w:pPr>
      <w:r w:rsidRPr="00206B09">
        <w:rPr>
          <w:sz w:val="24"/>
          <w:szCs w:val="24"/>
          <w:lang w:val="en-GB"/>
        </w:rPr>
        <w:t xml:space="preserve">Local Strategic Management Boards (SMB) comprising senior representatives from each of the Responsible Authority and DTC agencies are responsible for delivering MAPPA within their respective areas. The Responsible Authority is also required to appoint two Lay Advisers to sit on each MAPPA SMB. </w:t>
      </w:r>
    </w:p>
    <w:p w14:paraId="1DFD6E20" w14:textId="77777777" w:rsidR="003A5ED2" w:rsidRPr="00206B09" w:rsidRDefault="003A5ED2" w:rsidP="003A5ED2">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1E7689DC" w14:textId="77777777" w:rsidR="003A5ED2" w:rsidRPr="006A45B8" w:rsidRDefault="003A5ED2" w:rsidP="003A5ED2">
      <w:pPr>
        <w:pStyle w:val="Style1"/>
      </w:pPr>
      <w:r w:rsidRPr="006A45B8">
        <w:t>How MAPPA works</w:t>
      </w:r>
    </w:p>
    <w:p w14:paraId="4493744B" w14:textId="77777777" w:rsidR="003A5ED2" w:rsidRPr="00206B09" w:rsidRDefault="003A5ED2" w:rsidP="003A5ED2">
      <w:pPr>
        <w:pStyle w:val="MAPPA-Bodytext"/>
        <w:rPr>
          <w:sz w:val="24"/>
          <w:szCs w:val="24"/>
          <w:lang w:val="en-GB"/>
        </w:rPr>
      </w:pPr>
      <w:r w:rsidRPr="00206B09">
        <w:rPr>
          <w:sz w:val="24"/>
          <w:szCs w:val="24"/>
          <w:lang w:val="en-GB"/>
        </w:rPr>
        <w:t xml:space="preserve">MAPPA-eligible </w:t>
      </w:r>
      <w:r>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67E14400" w14:textId="77777777" w:rsidR="003A5ED2" w:rsidRPr="00206B09" w:rsidRDefault="003A5ED2" w:rsidP="003A5ED2">
      <w:pPr>
        <w:pStyle w:val="MAPPA-Bodytext"/>
        <w:rPr>
          <w:sz w:val="24"/>
          <w:szCs w:val="24"/>
          <w:lang w:val="en-GB"/>
        </w:rPr>
      </w:pPr>
      <w:r w:rsidRPr="00206B09">
        <w:rPr>
          <w:sz w:val="24"/>
          <w:szCs w:val="24"/>
          <w:lang w:val="en-GB"/>
        </w:rPr>
        <w:t>That is as far as MAPPA extend in the majority of cases, but some cases require more senior oversight and structured multi-agency management. In such cases there will be regular MAPPA meetings attended by relevant agency practitioners.</w:t>
      </w:r>
    </w:p>
    <w:p w14:paraId="47FA9D46" w14:textId="77777777" w:rsidR="003A5ED2" w:rsidRPr="00206B09" w:rsidRDefault="003A5ED2" w:rsidP="003A5ED2">
      <w:pPr>
        <w:pStyle w:val="MAPPA-Bodytext"/>
        <w:rPr>
          <w:sz w:val="24"/>
          <w:szCs w:val="24"/>
          <w:lang w:val="en-GB"/>
        </w:rPr>
      </w:pPr>
      <w:r w:rsidRPr="00206B09">
        <w:rPr>
          <w:sz w:val="24"/>
          <w:szCs w:val="24"/>
          <w:lang w:val="en-GB"/>
        </w:rPr>
        <w:t xml:space="preserve">There are </w:t>
      </w:r>
      <w:r>
        <w:rPr>
          <w:sz w:val="24"/>
          <w:szCs w:val="24"/>
          <w:lang w:val="en-GB"/>
        </w:rPr>
        <w:t>4</w:t>
      </w:r>
      <w:r w:rsidRPr="00206B09">
        <w:rPr>
          <w:sz w:val="24"/>
          <w:szCs w:val="24"/>
          <w:lang w:val="en-GB"/>
        </w:rPr>
        <w:t xml:space="preserve"> categories of MAPPA-eligible </w:t>
      </w:r>
      <w:r>
        <w:rPr>
          <w:sz w:val="24"/>
          <w:szCs w:val="24"/>
          <w:lang w:val="en-GB"/>
        </w:rPr>
        <w:t>individual</w:t>
      </w:r>
      <w:r w:rsidRPr="00206B09">
        <w:rPr>
          <w:sz w:val="24"/>
          <w:szCs w:val="24"/>
          <w:lang w:val="en-GB"/>
        </w:rPr>
        <w:t xml:space="preserve">: </w:t>
      </w:r>
    </w:p>
    <w:p w14:paraId="74706822" w14:textId="77777777" w:rsidR="003A5ED2" w:rsidRPr="00206B09" w:rsidRDefault="003A5ED2" w:rsidP="003A5ED2">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–subject to sex offender notification requirements; </w:t>
      </w:r>
    </w:p>
    <w:p w14:paraId="1757DB29" w14:textId="77777777" w:rsidR="003A5ED2" w:rsidRPr="00206B09" w:rsidRDefault="003A5ED2" w:rsidP="003A5ED2">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207F82A5" w14:textId="77777777" w:rsidR="003A5ED2" w:rsidRDefault="003A5ED2" w:rsidP="003A5ED2">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Pr>
          <w:sz w:val="24"/>
          <w:szCs w:val="24"/>
          <w:lang w:val="en-GB"/>
        </w:rPr>
        <w:t>individuals</w:t>
      </w:r>
      <w:r w:rsidRPr="00206B09">
        <w:rPr>
          <w:sz w:val="24"/>
          <w:szCs w:val="24"/>
          <w:lang w:val="en-GB"/>
        </w:rPr>
        <w:t xml:space="preserve"> who do not qualify under Categories 1</w:t>
      </w:r>
      <w:r>
        <w:rPr>
          <w:sz w:val="24"/>
          <w:szCs w:val="24"/>
          <w:lang w:val="en-GB"/>
        </w:rPr>
        <w:t>,</w:t>
      </w:r>
      <w:r w:rsidRPr="00206B09">
        <w:rPr>
          <w:sz w:val="24"/>
          <w:szCs w:val="24"/>
          <w:lang w:val="en-GB"/>
        </w:rPr>
        <w:t xml:space="preserve"> 2 </w:t>
      </w:r>
      <w:r>
        <w:rPr>
          <w:sz w:val="24"/>
          <w:szCs w:val="24"/>
          <w:lang w:val="en-GB"/>
        </w:rPr>
        <w:t xml:space="preserve">or 4 </w:t>
      </w:r>
      <w:r w:rsidRPr="00206B09">
        <w:rPr>
          <w:sz w:val="24"/>
          <w:szCs w:val="24"/>
          <w:lang w:val="en-GB"/>
        </w:rPr>
        <w:t>but who</w:t>
      </w:r>
      <w:r>
        <w:rPr>
          <w:sz w:val="24"/>
          <w:szCs w:val="24"/>
          <w:lang w:val="en-GB"/>
        </w:rPr>
        <w:t>se offences</w:t>
      </w:r>
      <w:r w:rsidRPr="00206B09">
        <w:rPr>
          <w:sz w:val="24"/>
          <w:szCs w:val="24"/>
          <w:lang w:val="en-GB"/>
        </w:rPr>
        <w:t xml:space="preserve"> pose a risk of serious harm. </w:t>
      </w:r>
    </w:p>
    <w:p w14:paraId="56C3CA1C" w14:textId="77777777" w:rsidR="003A5ED2" w:rsidRPr="00206B09" w:rsidRDefault="003A5ED2" w:rsidP="003A5ED2">
      <w:pPr>
        <w:pStyle w:val="MAPPA-Bodytext"/>
        <w:numPr>
          <w:ilvl w:val="0"/>
          <w:numId w:val="1"/>
        </w:numPr>
        <w:rPr>
          <w:sz w:val="24"/>
          <w:szCs w:val="24"/>
          <w:lang w:val="en-GB"/>
        </w:rPr>
      </w:pPr>
      <w:r>
        <w:rPr>
          <w:b/>
          <w:sz w:val="24"/>
          <w:szCs w:val="24"/>
          <w:lang w:val="en-GB"/>
        </w:rPr>
        <w:t xml:space="preserve">Category 4 </w:t>
      </w:r>
      <w:r>
        <w:rPr>
          <w:bCs/>
          <w:sz w:val="24"/>
          <w:szCs w:val="24"/>
          <w:lang w:val="en-GB"/>
        </w:rPr>
        <w:t>– terrorism convicted and terrorism risk individuals</w:t>
      </w:r>
    </w:p>
    <w:p w14:paraId="302D69AB" w14:textId="77777777" w:rsidR="003A5ED2" w:rsidRPr="00206B09" w:rsidRDefault="003A5ED2" w:rsidP="003A5ED2">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presenting the higher risks of serious harm. </w:t>
      </w:r>
    </w:p>
    <w:p w14:paraId="593B8243" w14:textId="77777777" w:rsidR="003A5ED2" w:rsidRPr="00206B09" w:rsidRDefault="003A5ED2" w:rsidP="003A5ED2">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is where the </w:t>
      </w:r>
      <w:r>
        <w:rPr>
          <w:sz w:val="24"/>
          <w:szCs w:val="24"/>
          <w:lang w:val="en-GB"/>
        </w:rPr>
        <w:t>individual</w:t>
      </w:r>
      <w:r w:rsidRPr="00206B09">
        <w:rPr>
          <w:sz w:val="24"/>
          <w:szCs w:val="24"/>
          <w:lang w:val="en-GB"/>
        </w:rPr>
        <w:t xml:space="preserve"> is managed by the lead agency with information exchange and </w:t>
      </w:r>
      <w:r w:rsidRPr="00C53F03">
        <w:rPr>
          <w:b/>
          <w:bCs/>
          <w:sz w:val="24"/>
          <w:szCs w:val="24"/>
          <w:lang w:val="en-GB"/>
        </w:rPr>
        <w:t>multi-agency support</w:t>
      </w:r>
      <w:r w:rsidRPr="00206B09">
        <w:rPr>
          <w:sz w:val="24"/>
          <w:szCs w:val="24"/>
          <w:lang w:val="en-GB"/>
        </w:rPr>
        <w:t xml:space="preserve"> as required but without formal MAPPA meetings; </w:t>
      </w:r>
    </w:p>
    <w:p w14:paraId="5B012692" w14:textId="77777777" w:rsidR="003A5ED2" w:rsidRPr="00206B09" w:rsidRDefault="003A5ED2" w:rsidP="003A5ED2">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formal MAPPA meetings are required to manage the </w:t>
      </w:r>
      <w:r>
        <w:rPr>
          <w:sz w:val="24"/>
          <w:szCs w:val="24"/>
          <w:lang w:val="en-GB"/>
        </w:rPr>
        <w:t>individual</w:t>
      </w:r>
      <w:r w:rsidRPr="00206B09">
        <w:rPr>
          <w:sz w:val="24"/>
          <w:szCs w:val="24"/>
          <w:lang w:val="en-GB"/>
        </w:rPr>
        <w:t xml:space="preserve">. </w:t>
      </w:r>
    </w:p>
    <w:p w14:paraId="56318DE6" w14:textId="77777777" w:rsidR="003A5ED2" w:rsidRPr="00206B09" w:rsidRDefault="003A5ED2" w:rsidP="003A5ED2">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 xml:space="preserve">is where risk management plans require the attendance and commitment of resources at a senior level at MAPPA meetings. </w:t>
      </w:r>
    </w:p>
    <w:p w14:paraId="461D88BF" w14:textId="77777777" w:rsidR="003A5ED2" w:rsidRPr="00206B09" w:rsidRDefault="003A5ED2" w:rsidP="003A5ED2">
      <w:pPr>
        <w:pStyle w:val="MAPPA-Bodytext"/>
        <w:rPr>
          <w:sz w:val="24"/>
          <w:szCs w:val="24"/>
          <w:lang w:val="en-GB"/>
        </w:rPr>
      </w:pPr>
      <w:r w:rsidRPr="00206B09">
        <w:rPr>
          <w:sz w:val="24"/>
          <w:szCs w:val="24"/>
          <w:lang w:val="en-GB"/>
        </w:rPr>
        <w:t xml:space="preserve">MAPPA are supported by ViSOR. This is a national IT system to assist in the management of </w:t>
      </w:r>
      <w:r>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enables </w:t>
      </w:r>
      <w:r w:rsidRPr="00206B09">
        <w:rPr>
          <w:sz w:val="24"/>
          <w:szCs w:val="24"/>
          <w:lang w:val="en-GB"/>
        </w:rPr>
        <w:lastRenderedPageBreak/>
        <w:t xml:space="preserve">the safe transfer of key information when high risk </w:t>
      </w:r>
      <w:r>
        <w:rPr>
          <w:sz w:val="24"/>
          <w:szCs w:val="24"/>
          <w:lang w:val="en-GB"/>
        </w:rPr>
        <w:t>individuals</w:t>
      </w:r>
      <w:r w:rsidRPr="00206B09">
        <w:rPr>
          <w:sz w:val="24"/>
          <w:szCs w:val="24"/>
          <w:lang w:val="en-GB"/>
        </w:rPr>
        <w:t xml:space="preserve"> move</w:t>
      </w:r>
      <w:r>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7613D935" w14:textId="77777777" w:rsidR="003A5ED2" w:rsidRPr="006A45B8" w:rsidRDefault="003A5ED2" w:rsidP="003A5ED2">
      <w:pPr>
        <w:pStyle w:val="Style1"/>
      </w:pPr>
      <w:r w:rsidRPr="006A45B8">
        <w:t xml:space="preserve">MAPPA and Terrorism </w:t>
      </w:r>
    </w:p>
    <w:p w14:paraId="7280AD94" w14:textId="77777777" w:rsidR="003A5ED2" w:rsidRPr="00206B09" w:rsidRDefault="003A5ED2" w:rsidP="003A5ED2">
      <w:pPr>
        <w:pStyle w:val="MAPPA-Bodytext"/>
        <w:rPr>
          <w:sz w:val="24"/>
          <w:szCs w:val="24"/>
          <w:lang w:val="en-GB"/>
        </w:rPr>
      </w:pPr>
      <w:r w:rsidRPr="00206B09">
        <w:rPr>
          <w:sz w:val="24"/>
          <w:szCs w:val="24"/>
          <w:lang w:val="en-GB"/>
        </w:rPr>
        <w:t>The government published an Independent Review of the MAPPA used to Supervise Terroris</w:t>
      </w:r>
      <w:r>
        <w:rPr>
          <w:sz w:val="24"/>
          <w:szCs w:val="24"/>
          <w:lang w:val="en-GB"/>
        </w:rPr>
        <w:t>m</w:t>
      </w:r>
      <w:r w:rsidRPr="00206B09">
        <w:rPr>
          <w:sz w:val="24"/>
          <w:szCs w:val="24"/>
          <w:lang w:val="en-GB"/>
        </w:rPr>
        <w:t xml:space="preserve"> and Terrorism-risk </w:t>
      </w:r>
      <w:r>
        <w:rPr>
          <w:sz w:val="24"/>
          <w:szCs w:val="24"/>
          <w:lang w:val="en-GB"/>
        </w:rPr>
        <w:t>individuals</w:t>
      </w:r>
      <w:r w:rsidRPr="00206B09">
        <w:rPr>
          <w:sz w:val="24"/>
          <w:szCs w:val="24"/>
          <w:lang w:val="en-GB"/>
        </w:rPr>
        <w:t xml:space="preserve"> on 2 September 2020 and published its response on 9 December. Both documents are available at </w:t>
      </w:r>
      <w:hyperlink r:id="rId22" w:history="1">
        <w:r w:rsidRPr="00206B09">
          <w:rPr>
            <w:rStyle w:val="Hyperlink"/>
            <w:rFonts w:cs="Arial"/>
            <w:sz w:val="24"/>
            <w:szCs w:val="24"/>
            <w:lang w:val="en-GB"/>
          </w:rPr>
          <w:t>https://www.gov.uk/government/publications/multi-agency-public-protection-arrangements-review</w:t>
        </w:r>
      </w:hyperlink>
      <w:r w:rsidRPr="00206B09">
        <w:rPr>
          <w:rStyle w:val="Hyperlink"/>
          <w:rFonts w:cs="Arial"/>
          <w:sz w:val="24"/>
          <w:szCs w:val="24"/>
          <w:lang w:val="en-GB"/>
        </w:rPr>
        <w:t xml:space="preserve">. </w:t>
      </w:r>
      <w:r w:rsidRPr="00206B09">
        <w:rPr>
          <w:sz w:val="24"/>
          <w:szCs w:val="24"/>
          <w:lang w:val="en-GB"/>
        </w:rPr>
        <w:t xml:space="preserve">The report made a number of recommendations, </w:t>
      </w:r>
      <w:r>
        <w:rPr>
          <w:sz w:val="24"/>
          <w:szCs w:val="24"/>
          <w:lang w:val="en-GB"/>
        </w:rPr>
        <w:t xml:space="preserve">the majority </w:t>
      </w:r>
      <w:r w:rsidRPr="00206B09">
        <w:rPr>
          <w:sz w:val="24"/>
          <w:szCs w:val="24"/>
          <w:lang w:val="en-GB"/>
        </w:rPr>
        <w:t>of which have been implemented</w:t>
      </w:r>
      <w:r>
        <w:rPr>
          <w:sz w:val="24"/>
          <w:szCs w:val="24"/>
          <w:lang w:val="en-GB"/>
        </w:rPr>
        <w:t>, including</w:t>
      </w:r>
      <w:r w:rsidRPr="00206B09">
        <w:rPr>
          <w:sz w:val="24"/>
          <w:szCs w:val="24"/>
          <w:lang w:val="en-GB"/>
        </w:rPr>
        <w:t xml:space="preserve"> via the Counter-Terrorism and Sentencing Act 2021 and the </w:t>
      </w:r>
      <w:r w:rsidRPr="00206B09">
        <w:rPr>
          <w:sz w:val="24"/>
          <w:szCs w:val="24"/>
          <w:lang w:val="en-GB"/>
        </w:rPr>
        <w:t>Police, Crime, Sentencing and Courts Act 2022. The Secretary of State has also revised the statutory MAPPA Guidance on terroris</w:t>
      </w:r>
      <w:r>
        <w:rPr>
          <w:sz w:val="24"/>
          <w:szCs w:val="24"/>
          <w:lang w:val="en-GB"/>
        </w:rPr>
        <w:t>m</w:t>
      </w:r>
      <w:r w:rsidRPr="00206B09">
        <w:rPr>
          <w:sz w:val="24"/>
          <w:szCs w:val="24"/>
          <w:lang w:val="en-GB"/>
        </w:rPr>
        <w:t xml:space="preserve"> offenders.</w:t>
      </w:r>
    </w:p>
    <w:p w14:paraId="4D8FF330" w14:textId="242B4FA4" w:rsidR="003A5ED2" w:rsidRPr="00206B09" w:rsidRDefault="003A5ED2" w:rsidP="003A5ED2">
      <w:pPr>
        <w:pStyle w:val="MAPPA-Bodytext"/>
        <w:rPr>
          <w:sz w:val="24"/>
          <w:szCs w:val="24"/>
          <w:lang w:val="en-GB"/>
        </w:rPr>
      </w:pPr>
      <w:r w:rsidRPr="00206B09">
        <w:rPr>
          <w:sz w:val="24"/>
          <w:szCs w:val="24"/>
          <w:lang w:val="en-GB"/>
        </w:rPr>
        <w:t xml:space="preserve">The Probation Service, via its National Security Division, has created a specialist dedicated and highly skilled workforce, which provides an enhanced level of management and intervention for the most high-risk, </w:t>
      </w:r>
      <w:r w:rsidR="00C10AB7" w:rsidRPr="00206B09">
        <w:rPr>
          <w:sz w:val="24"/>
          <w:szCs w:val="24"/>
          <w:lang w:val="en-GB"/>
        </w:rPr>
        <w:t>complex,</w:t>
      </w:r>
      <w:r w:rsidRPr="00206B09">
        <w:rPr>
          <w:sz w:val="24"/>
          <w:szCs w:val="24"/>
          <w:lang w:val="en-GB"/>
        </w:rPr>
        <w:t xml:space="preserve"> and high-profile </w:t>
      </w:r>
      <w:r>
        <w:rPr>
          <w:sz w:val="24"/>
          <w:szCs w:val="24"/>
          <w:lang w:val="en-GB"/>
        </w:rPr>
        <w:t>individuals</w:t>
      </w:r>
      <w:r w:rsidRPr="00206B09">
        <w:rPr>
          <w:sz w:val="24"/>
          <w:szCs w:val="24"/>
          <w:lang w:val="en-GB"/>
        </w:rPr>
        <w:t xml:space="preserve"> in the community. This includes the management of terrorist connected and terrorist risk offenders. The NSD and Counter-Terrorism Policing work closely with local SMBs to ensure the robust management of terrorism cases.</w:t>
      </w:r>
      <w:r>
        <w:rPr>
          <w:sz w:val="24"/>
          <w:szCs w:val="24"/>
          <w:lang w:val="en-GB"/>
        </w:rPr>
        <w:t xml:space="preserve"> Data on Category 4 individuals is not included in this report due to data protection issues related to low numbers. This data will be aggregated and published nationally.</w:t>
      </w:r>
    </w:p>
    <w:p w14:paraId="26714BFC" w14:textId="77777777" w:rsidR="003A5ED2" w:rsidRPr="00206B09" w:rsidRDefault="003A5ED2" w:rsidP="003A5ED2">
      <w:pPr>
        <w:pStyle w:val="MAPPA-Bodytext"/>
        <w:rPr>
          <w:sz w:val="24"/>
          <w:szCs w:val="24"/>
          <w:lang w:val="en-GB"/>
        </w:rPr>
      </w:pPr>
      <w:r w:rsidRPr="00206B09">
        <w:rPr>
          <w:sz w:val="24"/>
          <w:szCs w:val="24"/>
          <w:lang w:val="en-GB"/>
        </w:rPr>
        <w:t xml:space="preserve">All MAPPA reports from England and Wales are published online at: </w:t>
      </w:r>
      <w:hyperlink r:id="rId23" w:history="1">
        <w:r w:rsidRPr="00206B09">
          <w:rPr>
            <w:rStyle w:val="Hyperlink"/>
            <w:sz w:val="24"/>
            <w:szCs w:val="24"/>
            <w:lang w:val="en-GB"/>
          </w:rPr>
          <w:t>www.gov.uk</w:t>
        </w:r>
      </w:hyperlink>
      <w:r w:rsidRPr="00206B09">
        <w:rPr>
          <w:sz w:val="24"/>
          <w:szCs w:val="24"/>
          <w:lang w:val="en-GB"/>
        </w:rPr>
        <w:t xml:space="preserve"> </w:t>
      </w:r>
    </w:p>
    <w:p w14:paraId="637CCA54" w14:textId="77777777" w:rsidR="003A5ED2" w:rsidRPr="006A45B8" w:rsidRDefault="003A5ED2" w:rsidP="003A5ED2">
      <w:pPr>
        <w:pStyle w:val="MAPPA-Bodytext"/>
        <w:rPr>
          <w:szCs w:val="28"/>
          <w:lang w:val="en-GB"/>
        </w:rPr>
        <w:sectPr w:rsidR="003A5ED2" w:rsidRPr="006A45B8" w:rsidSect="00867C9E">
          <w:type w:val="continuous"/>
          <w:pgSz w:w="11905" w:h="16837" w:code="9"/>
          <w:pgMar w:top="720" w:right="720" w:bottom="720" w:left="720" w:header="720" w:footer="567" w:gutter="0"/>
          <w:cols w:num="2" w:space="720"/>
          <w:noEndnote/>
        </w:sectPr>
      </w:pPr>
    </w:p>
    <w:p w14:paraId="456AD2CE" w14:textId="77777777" w:rsidR="003A5ED2" w:rsidRDefault="003A5ED2" w:rsidP="003A5ED2">
      <w:pPr>
        <w:pStyle w:val="Heading1"/>
        <w:jc w:val="left"/>
        <w:sectPr w:rsidR="003A5ED2" w:rsidSect="00867C9E">
          <w:footerReference w:type="default" r:id="rId24"/>
          <w:type w:val="continuous"/>
          <w:pgSz w:w="11905" w:h="16837" w:code="9"/>
          <w:pgMar w:top="720" w:right="720" w:bottom="720" w:left="720" w:header="720" w:footer="567" w:gutter="0"/>
          <w:cols w:space="720"/>
          <w:noEndnote/>
        </w:sectPr>
      </w:pPr>
    </w:p>
    <w:p w14:paraId="743C6955" w14:textId="77777777" w:rsidR="00332EE6" w:rsidRPr="006A45B8" w:rsidRDefault="00332EE6" w:rsidP="00332EE6">
      <w:pPr>
        <w:pStyle w:val="MAPPA-Bodytext"/>
        <w:rPr>
          <w:szCs w:val="28"/>
          <w:lang w:val="en-GB"/>
        </w:rPr>
      </w:pP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bookmarkEnd w:id="1"/>
    <w:p w14:paraId="7A3FC7CD" w14:textId="77777777" w:rsidR="00332EE6" w:rsidRPr="006A45B8" w:rsidRDefault="00332EE6" w:rsidP="00332EE6">
      <w:pPr>
        <w:pStyle w:val="MAPPA-Bodytext"/>
        <w:rPr>
          <w:szCs w:val="28"/>
          <w:lang w:val="en-GB"/>
        </w:rPr>
      </w:pPr>
    </w:p>
    <w:p w14:paraId="7BE10C23" w14:textId="77777777" w:rsidR="00332EE6" w:rsidRPr="006A45B8" w:rsidRDefault="00332EE6" w:rsidP="00332EE6">
      <w:pPr>
        <w:pStyle w:val="MAPPA-Bodytext"/>
        <w:rPr>
          <w:szCs w:val="28"/>
          <w:lang w:val="en-GB"/>
        </w:rPr>
        <w:sectPr w:rsidR="00332EE6" w:rsidRPr="006A45B8" w:rsidSect="00867C9E">
          <w:footerReference w:type="default" r:id="rId25"/>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090D4B2" w14:textId="77777777" w:rsidR="003A5ED2" w:rsidRDefault="003A5ED2" w:rsidP="003A5ED2">
      <w:pPr>
        <w:pStyle w:val="MAPPA-Bodytext"/>
        <w:rPr>
          <w:szCs w:val="28"/>
          <w:lang w:val="en-GB"/>
        </w:rPr>
      </w:pPr>
    </w:p>
    <w:p w14:paraId="4F3C7154" w14:textId="77777777" w:rsidR="003A5ED2" w:rsidRPr="00B72238" w:rsidRDefault="003A5ED2" w:rsidP="003A5ED2">
      <w:pPr>
        <w:pStyle w:val="Style2"/>
        <w:rPr>
          <w:szCs w:val="28"/>
        </w:rPr>
      </w:pPr>
      <w:r w:rsidRPr="00B72238">
        <w:t xml:space="preserve">MAPPA-eligible </w:t>
      </w:r>
      <w:r>
        <w:t>individuals</w:t>
      </w:r>
      <w:r w:rsidRPr="00B72238">
        <w:t xml:space="preserve"> on 31 March 202</w:t>
      </w:r>
      <w:r>
        <w:t>3</w:t>
      </w:r>
    </w:p>
    <w:tbl>
      <w:tblPr>
        <w:tblStyle w:val="Style4"/>
        <w:tblW w:w="10485" w:type="dxa"/>
        <w:tblLook w:val="04A0" w:firstRow="1" w:lastRow="0" w:firstColumn="1" w:lastColumn="0" w:noHBand="0" w:noVBand="1"/>
      </w:tblPr>
      <w:tblGrid>
        <w:gridCol w:w="1742"/>
        <w:gridCol w:w="2185"/>
        <w:gridCol w:w="2186"/>
        <w:gridCol w:w="2186"/>
        <w:gridCol w:w="2186"/>
      </w:tblGrid>
      <w:tr w:rsidR="003A5ED2" w14:paraId="452EE267" w14:textId="77777777" w:rsidTr="00641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CD473FD" w14:textId="77777777" w:rsidR="003A5ED2" w:rsidRPr="00523CF4" w:rsidRDefault="003A5ED2" w:rsidP="00641CE6">
            <w:pPr>
              <w:pStyle w:val="MAPPA-Tabletext"/>
              <w:rPr>
                <w:b w:val="0"/>
                <w:bCs w:val="0"/>
                <w:sz w:val="24"/>
                <w:szCs w:val="24"/>
                <w:lang w:val="en-GB"/>
              </w:rPr>
            </w:pPr>
          </w:p>
        </w:tc>
        <w:tc>
          <w:tcPr>
            <w:tcW w:w="2185" w:type="dxa"/>
          </w:tcPr>
          <w:p w14:paraId="5D72995C" w14:textId="77777777" w:rsidR="003A5ED2" w:rsidRPr="00523CF4"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10724035" w14:textId="77777777" w:rsidR="003A5ED2" w:rsidRPr="00523CF4"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A15E64F" w14:textId="77777777" w:rsidR="003A5ED2" w:rsidRPr="00523CF4"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53108E5" w14:textId="77777777" w:rsidR="003A5ED2" w:rsidRPr="00523CF4"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3A5ED2" w14:paraId="686F3FC8"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32B05F83"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Level 1</w:t>
            </w:r>
          </w:p>
        </w:tc>
        <w:tc>
          <w:tcPr>
            <w:tcW w:w="2185" w:type="dxa"/>
          </w:tcPr>
          <w:p w14:paraId="334CF31E" w14:textId="4CC9C76B"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600</w:t>
            </w:r>
          </w:p>
        </w:tc>
        <w:tc>
          <w:tcPr>
            <w:tcW w:w="2186" w:type="dxa"/>
          </w:tcPr>
          <w:p w14:paraId="2A17872A" w14:textId="01BA9116"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109</w:t>
            </w:r>
          </w:p>
        </w:tc>
        <w:tc>
          <w:tcPr>
            <w:tcW w:w="2186" w:type="dxa"/>
          </w:tcPr>
          <w:p w14:paraId="63A911C0" w14:textId="6868186A"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681AD521" w14:textId="136A5558"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709</w:t>
            </w:r>
          </w:p>
        </w:tc>
      </w:tr>
      <w:tr w:rsidR="003A5ED2" w14:paraId="7F06F9EA"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0EEED1F9"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Level 2</w:t>
            </w:r>
          </w:p>
        </w:tc>
        <w:tc>
          <w:tcPr>
            <w:tcW w:w="2185" w:type="dxa"/>
          </w:tcPr>
          <w:p w14:paraId="7AF9E9A9" w14:textId="73F4307B"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6085FF0A" w14:textId="6D5CA652"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0F960C36" w14:textId="7C7D9AEE"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0A5F2479" w14:textId="7158C20B"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r>
      <w:tr w:rsidR="003A5ED2" w14:paraId="3EEBD4CE"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49AE7C8B"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Level 3</w:t>
            </w:r>
          </w:p>
        </w:tc>
        <w:tc>
          <w:tcPr>
            <w:tcW w:w="2185" w:type="dxa"/>
          </w:tcPr>
          <w:p w14:paraId="45ECC81F" w14:textId="79F4CC00"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27C62F1F" w14:textId="166593E0"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90A7447" w14:textId="79ADA966"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11BB497" w14:textId="75191F39"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r>
      <w:tr w:rsidR="003A5ED2" w14:paraId="0CDFA372"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784FB567"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Total</w:t>
            </w:r>
          </w:p>
        </w:tc>
        <w:tc>
          <w:tcPr>
            <w:tcW w:w="2185" w:type="dxa"/>
          </w:tcPr>
          <w:p w14:paraId="24EF3711" w14:textId="7F4A4C4D"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604</w:t>
            </w:r>
          </w:p>
        </w:tc>
        <w:tc>
          <w:tcPr>
            <w:tcW w:w="2186" w:type="dxa"/>
          </w:tcPr>
          <w:p w14:paraId="08204A64" w14:textId="03BB5A50"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110</w:t>
            </w:r>
          </w:p>
        </w:tc>
        <w:tc>
          <w:tcPr>
            <w:tcW w:w="2186" w:type="dxa"/>
          </w:tcPr>
          <w:p w14:paraId="59D28F2E" w14:textId="1648A186"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7DCBC208" w14:textId="608B559C"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719</w:t>
            </w:r>
          </w:p>
        </w:tc>
      </w:tr>
    </w:tbl>
    <w:p w14:paraId="7A8E0DAC" w14:textId="77777777" w:rsidR="003A5ED2" w:rsidRDefault="003A5ED2" w:rsidP="003A5ED2">
      <w:pPr>
        <w:pStyle w:val="MAPPA-Bodytext"/>
        <w:rPr>
          <w:szCs w:val="28"/>
          <w:lang w:val="en-GB"/>
        </w:rPr>
      </w:pPr>
    </w:p>
    <w:p w14:paraId="36AF87B4" w14:textId="77777777" w:rsidR="003A5ED2" w:rsidRPr="00C87622" w:rsidRDefault="003A5ED2" w:rsidP="003A5ED2">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3A5ED2" w14:paraId="339E56D9" w14:textId="77777777" w:rsidTr="00641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6F5E6ED" w14:textId="77777777" w:rsidR="003A5ED2" w:rsidRPr="00523CF4" w:rsidRDefault="003A5ED2" w:rsidP="00641CE6">
            <w:pPr>
              <w:pStyle w:val="MAPPA-Tabletext"/>
              <w:rPr>
                <w:b w:val="0"/>
                <w:bCs w:val="0"/>
                <w:sz w:val="24"/>
                <w:szCs w:val="24"/>
                <w:lang w:val="en-GB"/>
              </w:rPr>
            </w:pPr>
          </w:p>
        </w:tc>
        <w:tc>
          <w:tcPr>
            <w:tcW w:w="2185" w:type="dxa"/>
          </w:tcPr>
          <w:p w14:paraId="22A8C01B" w14:textId="77777777" w:rsidR="003A5ED2" w:rsidRPr="00523CF4"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3EDE9384" w14:textId="77777777" w:rsidR="003A5ED2" w:rsidRPr="00523CF4"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7BCE0245" w14:textId="77777777" w:rsidR="003A5ED2" w:rsidRPr="00523CF4"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293A10AC" w14:textId="77777777" w:rsidR="003A5ED2" w:rsidRPr="00523CF4" w:rsidRDefault="003A5ED2" w:rsidP="00641CE6">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3A5ED2" w14:paraId="791F3BD5"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5C769DCB"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Level 2</w:t>
            </w:r>
          </w:p>
        </w:tc>
        <w:tc>
          <w:tcPr>
            <w:tcW w:w="2185" w:type="dxa"/>
          </w:tcPr>
          <w:p w14:paraId="4D906237" w14:textId="724AD160"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16</w:t>
            </w:r>
          </w:p>
        </w:tc>
        <w:tc>
          <w:tcPr>
            <w:tcW w:w="2186" w:type="dxa"/>
          </w:tcPr>
          <w:p w14:paraId="3714C048" w14:textId="368F32B4"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17</w:t>
            </w:r>
          </w:p>
        </w:tc>
        <w:tc>
          <w:tcPr>
            <w:tcW w:w="2186" w:type="dxa"/>
          </w:tcPr>
          <w:p w14:paraId="32215E01" w14:textId="4CB310EA"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31</w:t>
            </w:r>
          </w:p>
        </w:tc>
        <w:tc>
          <w:tcPr>
            <w:tcW w:w="2186" w:type="dxa"/>
          </w:tcPr>
          <w:p w14:paraId="452009A8" w14:textId="216D09B8"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64</w:t>
            </w:r>
          </w:p>
        </w:tc>
      </w:tr>
      <w:tr w:rsidR="003A5ED2" w14:paraId="2908FFF9"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3E47575C"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Level 3</w:t>
            </w:r>
          </w:p>
        </w:tc>
        <w:tc>
          <w:tcPr>
            <w:tcW w:w="2185" w:type="dxa"/>
          </w:tcPr>
          <w:p w14:paraId="51EF3D5C" w14:textId="3B4F3867"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6211E390" w14:textId="2E98E853"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6353EFCA" w14:textId="0C9CCDBB"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2623087A" w14:textId="69680E90"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w:t>
            </w:r>
          </w:p>
        </w:tc>
      </w:tr>
      <w:tr w:rsidR="003A5ED2" w14:paraId="163D4165"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5950AA27"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Total</w:t>
            </w:r>
          </w:p>
        </w:tc>
        <w:tc>
          <w:tcPr>
            <w:tcW w:w="2185" w:type="dxa"/>
          </w:tcPr>
          <w:p w14:paraId="069C8AF0" w14:textId="793D5AFF"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23</w:t>
            </w:r>
          </w:p>
        </w:tc>
        <w:tc>
          <w:tcPr>
            <w:tcW w:w="2186" w:type="dxa"/>
          </w:tcPr>
          <w:p w14:paraId="3E8ADAD3" w14:textId="462F87B4"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18</w:t>
            </w:r>
          </w:p>
        </w:tc>
        <w:tc>
          <w:tcPr>
            <w:tcW w:w="2186" w:type="dxa"/>
          </w:tcPr>
          <w:p w14:paraId="6FF9AEFC" w14:textId="250CB2B4"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33</w:t>
            </w:r>
          </w:p>
        </w:tc>
        <w:tc>
          <w:tcPr>
            <w:tcW w:w="2186" w:type="dxa"/>
          </w:tcPr>
          <w:p w14:paraId="58BAEDAF" w14:textId="1A92969A"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74</w:t>
            </w:r>
          </w:p>
        </w:tc>
      </w:tr>
    </w:tbl>
    <w:p w14:paraId="47028BF8" w14:textId="77777777" w:rsidR="003A5ED2" w:rsidRPr="006A45B8" w:rsidRDefault="003A5ED2" w:rsidP="003A5ED2">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A5ED2" w14:paraId="574FC68E" w14:textId="77777777" w:rsidTr="00641CE6">
        <w:tc>
          <w:tcPr>
            <w:cnfStyle w:val="001000000000" w:firstRow="0" w:lastRow="0" w:firstColumn="1" w:lastColumn="0" w:oddVBand="0" w:evenVBand="0" w:oddHBand="0" w:evenHBand="0" w:firstRowFirstColumn="0" w:firstRowLastColumn="0" w:lastRowFirstColumn="0" w:lastRowLastColumn="0"/>
            <w:tcW w:w="8466" w:type="dxa"/>
          </w:tcPr>
          <w:p w14:paraId="47C07F7C" w14:textId="77777777" w:rsidR="003A5ED2" w:rsidRPr="00523CF4" w:rsidRDefault="003A5ED2" w:rsidP="00641CE6">
            <w:pPr>
              <w:pStyle w:val="Style2"/>
              <w:spacing w:line="240" w:lineRule="auto"/>
              <w:rPr>
                <w:b w:val="0"/>
                <w:bCs w:val="0"/>
              </w:rPr>
            </w:pPr>
            <w:r>
              <w:rPr>
                <w:b w:val="0"/>
                <w:bCs w:val="0"/>
              </w:rPr>
              <w:t>Category 1</w:t>
            </w:r>
            <w:r w:rsidRPr="00523CF4">
              <w:rPr>
                <w:b w:val="0"/>
                <w:bCs w:val="0"/>
              </w:rPr>
              <w:t xml:space="preserve"> cautioned or convicted for breach of notification requirements</w:t>
            </w:r>
          </w:p>
        </w:tc>
        <w:tc>
          <w:tcPr>
            <w:tcW w:w="2113" w:type="dxa"/>
          </w:tcPr>
          <w:p w14:paraId="3EE7A272" w14:textId="4653D3B7"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25</w:t>
            </w:r>
          </w:p>
        </w:tc>
      </w:tr>
    </w:tbl>
    <w:p w14:paraId="2A8118F1" w14:textId="77777777" w:rsidR="003A5ED2" w:rsidRPr="006A45B8" w:rsidRDefault="003A5ED2" w:rsidP="003A5ED2">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A5ED2" w14:paraId="74727A7A" w14:textId="77777777" w:rsidTr="00641CE6">
        <w:tc>
          <w:tcPr>
            <w:cnfStyle w:val="001000000000" w:firstRow="0" w:lastRow="0" w:firstColumn="1" w:lastColumn="0" w:oddVBand="0" w:evenVBand="0" w:oddHBand="0" w:evenHBand="0" w:firstRowFirstColumn="0" w:firstRowLastColumn="0" w:lastRowFirstColumn="0" w:lastRowLastColumn="0"/>
            <w:tcW w:w="8466" w:type="dxa"/>
          </w:tcPr>
          <w:p w14:paraId="35A6A9D9" w14:textId="77777777" w:rsidR="003A5ED2" w:rsidRPr="00523CF4" w:rsidRDefault="003A5ED2" w:rsidP="00641CE6">
            <w:pPr>
              <w:pStyle w:val="Style2"/>
              <w:spacing w:line="240" w:lineRule="auto"/>
              <w:rPr>
                <w:b w:val="0"/>
                <w:bCs w:val="0"/>
              </w:rPr>
            </w:pPr>
            <w:r>
              <w:rPr>
                <w:b w:val="0"/>
                <w:bCs w:val="0"/>
              </w:rPr>
              <w:t>Category 1</w:t>
            </w:r>
            <w:r w:rsidRPr="00523CF4">
              <w:rPr>
                <w:b w:val="0"/>
                <w:bCs w:val="0"/>
              </w:rPr>
              <w:t xml:space="preserve"> who have had their life time notification revoked on application </w:t>
            </w:r>
          </w:p>
        </w:tc>
        <w:tc>
          <w:tcPr>
            <w:tcW w:w="2113" w:type="dxa"/>
          </w:tcPr>
          <w:p w14:paraId="55CEAA92" w14:textId="18EE0034"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4</w:t>
            </w:r>
          </w:p>
        </w:tc>
      </w:tr>
    </w:tbl>
    <w:p w14:paraId="66D1998C" w14:textId="77777777" w:rsidR="003A5ED2" w:rsidRDefault="003A5ED2" w:rsidP="003A5ED2">
      <w:pPr>
        <w:pStyle w:val="MAPPA-Bodytext"/>
        <w:rPr>
          <w:szCs w:val="28"/>
          <w:lang w:val="en-GB"/>
        </w:rPr>
      </w:pPr>
    </w:p>
    <w:p w14:paraId="11FC7A30" w14:textId="77777777" w:rsidR="003A5ED2" w:rsidRPr="00845D34" w:rsidRDefault="003A5ED2" w:rsidP="003A5ED2">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3A5ED2" w14:paraId="3ACD10B5" w14:textId="77777777" w:rsidTr="00641CE6">
        <w:tc>
          <w:tcPr>
            <w:cnfStyle w:val="001000000000" w:firstRow="0" w:lastRow="0" w:firstColumn="1" w:lastColumn="0" w:oddVBand="0" w:evenVBand="0" w:oddHBand="0" w:evenHBand="0" w:firstRowFirstColumn="0" w:firstRowLastColumn="0" w:lastRowFirstColumn="0" w:lastRowLastColumn="0"/>
            <w:tcW w:w="8359" w:type="dxa"/>
          </w:tcPr>
          <w:p w14:paraId="1DE82D40" w14:textId="77777777" w:rsidR="003A5ED2" w:rsidRPr="00523CF4" w:rsidRDefault="003A5ED2" w:rsidP="00641CE6">
            <w:pPr>
              <w:pStyle w:val="MAPPA-Tabletext"/>
              <w:rPr>
                <w:sz w:val="24"/>
                <w:szCs w:val="24"/>
                <w:lang w:val="en-GB"/>
              </w:rPr>
            </w:pPr>
            <w:r>
              <w:rPr>
                <w:sz w:val="24"/>
                <w:szCs w:val="24"/>
                <w:lang w:val="en-GB"/>
              </w:rPr>
              <w:t>Sexual Harm Prevention Order (SHPO)</w:t>
            </w:r>
          </w:p>
        </w:tc>
        <w:tc>
          <w:tcPr>
            <w:tcW w:w="2096" w:type="dxa"/>
          </w:tcPr>
          <w:p w14:paraId="6F1CB15C" w14:textId="4857A8B4"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44</w:t>
            </w:r>
          </w:p>
        </w:tc>
      </w:tr>
      <w:tr w:rsidR="003A5ED2" w14:paraId="572EECB5" w14:textId="77777777" w:rsidTr="00641CE6">
        <w:tc>
          <w:tcPr>
            <w:cnfStyle w:val="001000000000" w:firstRow="0" w:lastRow="0" w:firstColumn="1" w:lastColumn="0" w:oddVBand="0" w:evenVBand="0" w:oddHBand="0" w:evenHBand="0" w:firstRowFirstColumn="0" w:firstRowLastColumn="0" w:lastRowFirstColumn="0" w:lastRowLastColumn="0"/>
            <w:tcW w:w="8359" w:type="dxa"/>
          </w:tcPr>
          <w:p w14:paraId="6806B403" w14:textId="77777777" w:rsidR="003A5ED2" w:rsidRPr="00523CF4" w:rsidRDefault="003A5ED2" w:rsidP="00641CE6">
            <w:pPr>
              <w:pStyle w:val="MAPPA-Tabletext"/>
              <w:rPr>
                <w:sz w:val="24"/>
                <w:szCs w:val="24"/>
                <w:lang w:val="en-GB"/>
              </w:rPr>
            </w:pPr>
            <w:r w:rsidRPr="00523CF4">
              <w:rPr>
                <w:sz w:val="24"/>
                <w:szCs w:val="24"/>
                <w:lang w:val="en-GB"/>
              </w:rPr>
              <w:t>SHPO with foreign travel restriction</w:t>
            </w:r>
          </w:p>
        </w:tc>
        <w:tc>
          <w:tcPr>
            <w:tcW w:w="2096" w:type="dxa"/>
          </w:tcPr>
          <w:p w14:paraId="6434C322" w14:textId="65EFE15F"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3A5ED2" w14:paraId="51F4F1AB" w14:textId="77777777" w:rsidTr="00641CE6">
        <w:tc>
          <w:tcPr>
            <w:cnfStyle w:val="001000000000" w:firstRow="0" w:lastRow="0" w:firstColumn="1" w:lastColumn="0" w:oddVBand="0" w:evenVBand="0" w:oddHBand="0" w:evenHBand="0" w:firstRowFirstColumn="0" w:firstRowLastColumn="0" w:lastRowFirstColumn="0" w:lastRowLastColumn="0"/>
            <w:tcW w:w="8359" w:type="dxa"/>
          </w:tcPr>
          <w:p w14:paraId="3E3BB12C" w14:textId="77777777" w:rsidR="003A5ED2" w:rsidRPr="00523CF4" w:rsidRDefault="003A5ED2" w:rsidP="00641CE6">
            <w:pPr>
              <w:pStyle w:val="MAPPA-Tabletext"/>
              <w:rPr>
                <w:sz w:val="24"/>
                <w:szCs w:val="24"/>
                <w:lang w:val="en-GB"/>
              </w:rPr>
            </w:pPr>
            <w:r>
              <w:rPr>
                <w:sz w:val="24"/>
                <w:szCs w:val="24"/>
                <w:lang w:val="en-GB"/>
              </w:rPr>
              <w:t>Notification Order</w:t>
            </w:r>
          </w:p>
        </w:tc>
        <w:tc>
          <w:tcPr>
            <w:tcW w:w="2096" w:type="dxa"/>
          </w:tcPr>
          <w:p w14:paraId="1308C186" w14:textId="3EA5ED80"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3CE80B9B" w14:textId="77777777" w:rsidR="003A5ED2" w:rsidRPr="006A45B8" w:rsidRDefault="003A5ED2" w:rsidP="003A5ED2">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A5ED2" w14:paraId="5D62FAFA" w14:textId="77777777" w:rsidTr="00641CE6">
        <w:tc>
          <w:tcPr>
            <w:cnfStyle w:val="001000000000" w:firstRow="0" w:lastRow="0" w:firstColumn="1" w:lastColumn="0" w:oddVBand="0" w:evenVBand="0" w:oddHBand="0" w:evenHBand="0" w:firstRowFirstColumn="0" w:firstRowLastColumn="0" w:lastRowFirstColumn="0" w:lastRowLastColumn="0"/>
            <w:tcW w:w="8466" w:type="dxa"/>
          </w:tcPr>
          <w:p w14:paraId="2D121506" w14:textId="77777777" w:rsidR="003A5ED2" w:rsidRPr="00523CF4" w:rsidRDefault="003A5ED2" w:rsidP="00641CE6">
            <w:pPr>
              <w:pStyle w:val="Style2"/>
              <w:spacing w:before="0" w:line="240" w:lineRule="auto"/>
              <w:rPr>
                <w:b w:val="0"/>
                <w:bCs w:val="0"/>
              </w:rPr>
            </w:pPr>
            <w:r w:rsidRPr="00523CF4">
              <w:rPr>
                <w:b w:val="0"/>
                <w:bCs w:val="0"/>
              </w:rPr>
              <w:t xml:space="preserve">Number of </w:t>
            </w:r>
            <w:r>
              <w:rPr>
                <w:b w:val="0"/>
                <w:bCs w:val="0"/>
              </w:rPr>
              <w:t>individuals</w:t>
            </w:r>
            <w:r w:rsidRPr="00523CF4">
              <w:rPr>
                <w:b w:val="0"/>
                <w:bCs w:val="0"/>
              </w:rPr>
              <w:t xml:space="preserve"> who became subject to </w:t>
            </w:r>
            <w:r>
              <w:rPr>
                <w:b w:val="0"/>
                <w:bCs w:val="0"/>
              </w:rPr>
              <w:t xml:space="preserve">sex offender </w:t>
            </w:r>
            <w:r w:rsidRPr="00523CF4">
              <w:rPr>
                <w:b w:val="0"/>
                <w:bCs w:val="0"/>
              </w:rPr>
              <w:t xml:space="preserve">notification requirements following a breach(es) of a Sexual Risk Order (SRO) </w:t>
            </w:r>
          </w:p>
        </w:tc>
        <w:tc>
          <w:tcPr>
            <w:tcW w:w="2113" w:type="dxa"/>
          </w:tcPr>
          <w:p w14:paraId="29BD473F" w14:textId="7E95283B"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bl>
    <w:p w14:paraId="3943206A" w14:textId="77777777" w:rsidR="003A5ED2" w:rsidRDefault="003A5ED2" w:rsidP="003A5ED2"/>
    <w:p w14:paraId="5F3F42F2" w14:textId="77777777" w:rsidR="003A5ED2" w:rsidRPr="00D6369A" w:rsidRDefault="003A5ED2" w:rsidP="003A5ED2">
      <w:pPr>
        <w:pStyle w:val="Style2"/>
        <w:rPr>
          <w:szCs w:val="28"/>
        </w:rPr>
      </w:pPr>
      <w:r w:rsidRPr="00D6369A">
        <w:t xml:space="preserve">Level 2 and 3 </w:t>
      </w:r>
      <w:r>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3A5ED2" w14:paraId="614060DF" w14:textId="77777777" w:rsidTr="00641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8F81FD9" w14:textId="77777777" w:rsidR="003A5ED2" w:rsidRPr="00523CF4" w:rsidRDefault="003A5ED2" w:rsidP="00641CE6">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01EA8AD2" w14:textId="77777777" w:rsidR="003A5ED2" w:rsidRPr="00523CF4" w:rsidRDefault="003A5ED2" w:rsidP="00641CE6">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1DDC5C9A" w14:textId="77777777" w:rsidR="003A5ED2" w:rsidRPr="00523CF4" w:rsidRDefault="003A5ED2" w:rsidP="00641CE6">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29D95046" w14:textId="77777777" w:rsidR="003A5ED2" w:rsidRPr="00523CF4" w:rsidRDefault="003A5ED2" w:rsidP="00641CE6">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10E94D1F" w14:textId="77777777" w:rsidR="003A5ED2" w:rsidRPr="00523CF4" w:rsidRDefault="003A5ED2" w:rsidP="00641CE6">
            <w:pPr>
              <w:pStyle w:val="StyleMAPPA-TabletextBold"/>
              <w:jc w:val="right"/>
              <w:rPr>
                <w:sz w:val="24"/>
                <w:szCs w:val="24"/>
                <w:lang w:val="en-GB"/>
              </w:rPr>
            </w:pPr>
            <w:r w:rsidRPr="00523CF4">
              <w:rPr>
                <w:sz w:val="24"/>
                <w:szCs w:val="24"/>
                <w:lang w:val="en-GB"/>
              </w:rPr>
              <w:t>Total</w:t>
            </w:r>
          </w:p>
        </w:tc>
      </w:tr>
      <w:tr w:rsidR="003A5ED2" w14:paraId="2261832F"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7DD13734"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lastRenderedPageBreak/>
              <w:t>Level 2</w:t>
            </w:r>
          </w:p>
        </w:tc>
        <w:tc>
          <w:tcPr>
            <w:tcW w:w="2185" w:type="dxa"/>
          </w:tcPr>
          <w:p w14:paraId="5E3FD12E" w14:textId="3B354C61"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5148C553" w14:textId="3538C174"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6FC6E567" w14:textId="35C139D9"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13</w:t>
            </w:r>
          </w:p>
        </w:tc>
        <w:tc>
          <w:tcPr>
            <w:cnfStyle w:val="000100000000" w:firstRow="0" w:lastRow="0" w:firstColumn="0" w:lastColumn="1" w:oddVBand="0" w:evenVBand="0" w:oddHBand="0" w:evenHBand="0" w:firstRowFirstColumn="0" w:firstRowLastColumn="0" w:lastRowFirstColumn="0" w:lastRowLastColumn="0"/>
            <w:tcW w:w="2186" w:type="dxa"/>
          </w:tcPr>
          <w:p w14:paraId="3C5BA1F8" w14:textId="5D97B702" w:rsidR="003A5ED2" w:rsidRPr="00523CF4" w:rsidRDefault="00CB379A" w:rsidP="00641CE6">
            <w:pPr>
              <w:pStyle w:val="MAPPA-Tabletext"/>
              <w:jc w:val="right"/>
              <w:rPr>
                <w:b w:val="0"/>
                <w:bCs w:val="0"/>
                <w:sz w:val="24"/>
                <w:szCs w:val="24"/>
                <w:lang w:val="en-GB"/>
              </w:rPr>
            </w:pPr>
            <w:r>
              <w:rPr>
                <w:b w:val="0"/>
                <w:bCs w:val="0"/>
                <w:sz w:val="24"/>
                <w:szCs w:val="24"/>
                <w:lang w:val="en-GB"/>
              </w:rPr>
              <w:t>15</w:t>
            </w:r>
          </w:p>
        </w:tc>
      </w:tr>
      <w:tr w:rsidR="003A5ED2" w14:paraId="1CB45439" w14:textId="77777777" w:rsidTr="00641CE6">
        <w:tc>
          <w:tcPr>
            <w:cnfStyle w:val="001000000000" w:firstRow="0" w:lastRow="0" w:firstColumn="1" w:lastColumn="0" w:oddVBand="0" w:evenVBand="0" w:oddHBand="0" w:evenHBand="0" w:firstRowFirstColumn="0" w:firstRowLastColumn="0" w:lastRowFirstColumn="0" w:lastRowLastColumn="0"/>
            <w:tcW w:w="1742" w:type="dxa"/>
          </w:tcPr>
          <w:p w14:paraId="11F25E9F"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Level 3</w:t>
            </w:r>
          </w:p>
        </w:tc>
        <w:tc>
          <w:tcPr>
            <w:tcW w:w="2185" w:type="dxa"/>
          </w:tcPr>
          <w:p w14:paraId="1A24A440" w14:textId="06C00347"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p>
        </w:tc>
        <w:tc>
          <w:tcPr>
            <w:tcW w:w="2186" w:type="dxa"/>
          </w:tcPr>
          <w:p w14:paraId="0ABDDE5B" w14:textId="5D626258"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3107F7E4" w14:textId="50D519BD" w:rsidR="003A5ED2" w:rsidRPr="00523CF4"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cnfStyle w:val="000100000000" w:firstRow="0" w:lastRow="0" w:firstColumn="0" w:lastColumn="1" w:oddVBand="0" w:evenVBand="0" w:oddHBand="0" w:evenHBand="0" w:firstRowFirstColumn="0" w:firstRowLastColumn="0" w:lastRowFirstColumn="0" w:lastRowLastColumn="0"/>
            <w:tcW w:w="2186" w:type="dxa"/>
          </w:tcPr>
          <w:p w14:paraId="19BDAD76" w14:textId="2054A6AA" w:rsidR="003A5ED2" w:rsidRPr="00523CF4" w:rsidRDefault="00CB379A" w:rsidP="00641CE6">
            <w:pPr>
              <w:pStyle w:val="MAPPA-Tabletext"/>
              <w:jc w:val="right"/>
              <w:rPr>
                <w:b w:val="0"/>
                <w:bCs w:val="0"/>
                <w:sz w:val="24"/>
                <w:szCs w:val="24"/>
                <w:lang w:val="en-GB"/>
              </w:rPr>
            </w:pPr>
            <w:r>
              <w:rPr>
                <w:b w:val="0"/>
                <w:bCs w:val="0"/>
                <w:sz w:val="24"/>
                <w:szCs w:val="24"/>
                <w:lang w:val="en-GB"/>
              </w:rPr>
              <w:t>4</w:t>
            </w:r>
          </w:p>
        </w:tc>
      </w:tr>
      <w:tr w:rsidR="003A5ED2" w14:paraId="7D45871E" w14:textId="77777777" w:rsidTr="00641C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4D0FC5B4"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Total</w:t>
            </w:r>
          </w:p>
        </w:tc>
        <w:tc>
          <w:tcPr>
            <w:tcW w:w="2185" w:type="dxa"/>
          </w:tcPr>
          <w:p w14:paraId="712070AA" w14:textId="0F4A6CB3" w:rsidR="003A5ED2" w:rsidRPr="00523CF4" w:rsidRDefault="00CB379A" w:rsidP="00641CE6">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5</w:t>
            </w:r>
          </w:p>
        </w:tc>
        <w:tc>
          <w:tcPr>
            <w:tcW w:w="2186" w:type="dxa"/>
          </w:tcPr>
          <w:p w14:paraId="048F27A4" w14:textId="2263B6B1" w:rsidR="003A5ED2" w:rsidRPr="00523CF4" w:rsidRDefault="00CB379A" w:rsidP="00641CE6">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0</w:t>
            </w:r>
          </w:p>
        </w:tc>
        <w:tc>
          <w:tcPr>
            <w:tcW w:w="2186" w:type="dxa"/>
          </w:tcPr>
          <w:p w14:paraId="02F0780D" w14:textId="0A427C11" w:rsidR="003A5ED2" w:rsidRPr="00523CF4" w:rsidRDefault="00CB379A" w:rsidP="00641CE6">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14</w:t>
            </w:r>
          </w:p>
        </w:tc>
        <w:tc>
          <w:tcPr>
            <w:cnfStyle w:val="000100000000" w:firstRow="0" w:lastRow="0" w:firstColumn="0" w:lastColumn="1" w:oddVBand="0" w:evenVBand="0" w:oddHBand="0" w:evenHBand="0" w:firstRowFirstColumn="0" w:firstRowLastColumn="0" w:lastRowFirstColumn="0" w:lastRowLastColumn="0"/>
            <w:tcW w:w="2186" w:type="dxa"/>
          </w:tcPr>
          <w:p w14:paraId="5E3A4A69" w14:textId="5E729549" w:rsidR="003A5ED2" w:rsidRPr="00523CF4" w:rsidRDefault="00CB379A" w:rsidP="00641CE6">
            <w:pPr>
              <w:pStyle w:val="MAPPA-Tabletext"/>
              <w:jc w:val="right"/>
              <w:rPr>
                <w:b w:val="0"/>
                <w:bCs w:val="0"/>
                <w:sz w:val="24"/>
                <w:szCs w:val="24"/>
                <w:lang w:val="en-GB"/>
              </w:rPr>
            </w:pPr>
            <w:r>
              <w:rPr>
                <w:b w:val="0"/>
                <w:bCs w:val="0"/>
                <w:sz w:val="24"/>
                <w:szCs w:val="24"/>
                <w:lang w:val="en-GB"/>
              </w:rPr>
              <w:t>19</w:t>
            </w:r>
          </w:p>
        </w:tc>
      </w:tr>
    </w:tbl>
    <w:p w14:paraId="6F5D8D18" w14:textId="77777777" w:rsidR="003A5ED2" w:rsidRDefault="003A5ED2" w:rsidP="003A5ED2"/>
    <w:tbl>
      <w:tblPr>
        <w:tblStyle w:val="Style4"/>
        <w:tblW w:w="10485" w:type="dxa"/>
        <w:tblLook w:val="01E0" w:firstRow="1" w:lastRow="1" w:firstColumn="1" w:lastColumn="1" w:noHBand="0" w:noVBand="0"/>
      </w:tblPr>
      <w:tblGrid>
        <w:gridCol w:w="8359"/>
        <w:gridCol w:w="2126"/>
      </w:tblGrid>
      <w:tr w:rsidR="003A5ED2" w14:paraId="1489100F" w14:textId="77777777" w:rsidTr="00641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72FAD404"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1BA498DD" w14:textId="77777777" w:rsidR="003A5ED2" w:rsidRPr="00523CF4" w:rsidRDefault="003A5ED2" w:rsidP="00641CE6">
            <w:pPr>
              <w:pStyle w:val="MAPPA-Tabletext"/>
              <w:jc w:val="right"/>
              <w:rPr>
                <w:b w:val="0"/>
                <w:bCs w:val="0"/>
                <w:sz w:val="24"/>
                <w:szCs w:val="24"/>
                <w:lang w:val="en-GB"/>
              </w:rPr>
            </w:pPr>
          </w:p>
        </w:tc>
      </w:tr>
      <w:tr w:rsidR="003A5ED2" w14:paraId="113E1572" w14:textId="77777777" w:rsidTr="00641CE6">
        <w:tc>
          <w:tcPr>
            <w:cnfStyle w:val="001000000000" w:firstRow="0" w:lastRow="0" w:firstColumn="1" w:lastColumn="0" w:oddVBand="0" w:evenVBand="0" w:oddHBand="0" w:evenHBand="0" w:firstRowFirstColumn="0" w:firstRowLastColumn="0" w:lastRowFirstColumn="0" w:lastRowLastColumn="0"/>
            <w:tcW w:w="8359" w:type="dxa"/>
          </w:tcPr>
          <w:p w14:paraId="6939C4A5"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6839ECCB" w14:textId="6CD5F938" w:rsidR="003A5ED2" w:rsidRPr="00523CF4" w:rsidRDefault="00CB379A" w:rsidP="00641CE6">
            <w:pPr>
              <w:pStyle w:val="MAPPA-Tabletext"/>
              <w:jc w:val="right"/>
              <w:rPr>
                <w:b w:val="0"/>
                <w:bCs w:val="0"/>
                <w:sz w:val="24"/>
                <w:szCs w:val="24"/>
                <w:lang w:val="en-GB"/>
              </w:rPr>
            </w:pPr>
            <w:r>
              <w:rPr>
                <w:b w:val="0"/>
                <w:bCs w:val="0"/>
                <w:sz w:val="24"/>
                <w:szCs w:val="24"/>
                <w:lang w:val="en-GB"/>
              </w:rPr>
              <w:t>0</w:t>
            </w:r>
          </w:p>
        </w:tc>
      </w:tr>
      <w:tr w:rsidR="003A5ED2" w14:paraId="5E417943" w14:textId="77777777" w:rsidTr="00641CE6">
        <w:tc>
          <w:tcPr>
            <w:cnfStyle w:val="001000000000" w:firstRow="0" w:lastRow="0" w:firstColumn="1" w:lastColumn="0" w:oddVBand="0" w:evenVBand="0" w:oddHBand="0" w:evenHBand="0" w:firstRowFirstColumn="0" w:firstRowLastColumn="0" w:lastRowFirstColumn="0" w:lastRowLastColumn="0"/>
            <w:tcW w:w="8359" w:type="dxa"/>
          </w:tcPr>
          <w:p w14:paraId="15C966E5"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6A7D26AC" w14:textId="67C6C22B" w:rsidR="003A5ED2" w:rsidRPr="00523CF4" w:rsidRDefault="00CB379A" w:rsidP="00641CE6">
            <w:pPr>
              <w:pStyle w:val="MAPPA-Tabletext"/>
              <w:jc w:val="right"/>
              <w:rPr>
                <w:b w:val="0"/>
                <w:bCs w:val="0"/>
                <w:sz w:val="24"/>
                <w:szCs w:val="24"/>
                <w:lang w:val="en-GB"/>
              </w:rPr>
            </w:pPr>
            <w:r>
              <w:rPr>
                <w:b w:val="0"/>
                <w:bCs w:val="0"/>
                <w:sz w:val="24"/>
                <w:szCs w:val="24"/>
                <w:lang w:val="en-GB"/>
              </w:rPr>
              <w:t>0</w:t>
            </w:r>
          </w:p>
        </w:tc>
      </w:tr>
      <w:tr w:rsidR="003A5ED2" w14:paraId="7F93F8D2" w14:textId="77777777" w:rsidTr="00641C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10D5E4F2" w14:textId="77777777" w:rsidR="003A5ED2" w:rsidRPr="00523CF4" w:rsidRDefault="003A5ED2" w:rsidP="00641CE6">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8BCD713" w14:textId="4F13C9F5" w:rsidR="003A5ED2" w:rsidRPr="00523CF4" w:rsidRDefault="00CB379A" w:rsidP="00641CE6">
            <w:pPr>
              <w:pStyle w:val="MAPPA-Tabletext"/>
              <w:jc w:val="right"/>
              <w:rPr>
                <w:b w:val="0"/>
                <w:bCs w:val="0"/>
                <w:sz w:val="24"/>
                <w:szCs w:val="24"/>
                <w:lang w:val="en-GB"/>
              </w:rPr>
            </w:pPr>
            <w:r>
              <w:rPr>
                <w:b w:val="0"/>
                <w:bCs w:val="0"/>
                <w:sz w:val="24"/>
                <w:szCs w:val="24"/>
                <w:lang w:val="en-GB"/>
              </w:rPr>
              <w:t>0</w:t>
            </w:r>
          </w:p>
        </w:tc>
      </w:tr>
    </w:tbl>
    <w:p w14:paraId="6ABD997B" w14:textId="77777777" w:rsidR="003A5ED2" w:rsidRPr="006A45B8" w:rsidRDefault="003A5ED2" w:rsidP="003A5ED2">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A5ED2" w:rsidRPr="00D929AA" w14:paraId="7EA98048" w14:textId="77777777" w:rsidTr="00641CE6">
        <w:tc>
          <w:tcPr>
            <w:cnfStyle w:val="001000000000" w:firstRow="0" w:lastRow="0" w:firstColumn="1" w:lastColumn="0" w:oddVBand="0" w:evenVBand="0" w:oddHBand="0" w:evenHBand="0" w:firstRowFirstColumn="0" w:firstRowLastColumn="0" w:lastRowFirstColumn="0" w:lastRowLastColumn="0"/>
            <w:tcW w:w="8466" w:type="dxa"/>
          </w:tcPr>
          <w:p w14:paraId="06B5F401" w14:textId="77777777" w:rsidR="003A5ED2" w:rsidRPr="004265C9" w:rsidRDefault="003A5ED2" w:rsidP="00641CE6">
            <w:pPr>
              <w:pStyle w:val="Style2"/>
              <w:spacing w:line="240" w:lineRule="auto"/>
              <w:rPr>
                <w:b w:val="0"/>
                <w:bCs w:val="0"/>
              </w:rPr>
            </w:pPr>
            <w:r w:rsidRPr="004265C9">
              <w:rPr>
                <w:b w:val="0"/>
                <w:bCs w:val="0"/>
              </w:rPr>
              <w:t xml:space="preserve">Total number of </w:t>
            </w:r>
            <w:r>
              <w:rPr>
                <w:b w:val="0"/>
                <w:bCs w:val="0"/>
              </w:rPr>
              <w:t>individuals subject to</w:t>
            </w:r>
            <w:r w:rsidRPr="004265C9">
              <w:rPr>
                <w:b w:val="0"/>
                <w:bCs w:val="0"/>
              </w:rPr>
              <w:t xml:space="preserve"> </w:t>
            </w:r>
            <w:r>
              <w:rPr>
                <w:b w:val="0"/>
                <w:bCs w:val="0"/>
              </w:rPr>
              <w:t>s</w:t>
            </w:r>
            <w:r w:rsidRPr="004265C9">
              <w:rPr>
                <w:b w:val="0"/>
                <w:bCs w:val="0"/>
              </w:rPr>
              <w:t xml:space="preserve">ex </w:t>
            </w:r>
            <w:r>
              <w:rPr>
                <w:b w:val="0"/>
                <w:bCs w:val="0"/>
              </w:rPr>
              <w:t>o</w:t>
            </w:r>
            <w:r w:rsidRPr="004265C9">
              <w:rPr>
                <w:b w:val="0"/>
                <w:bCs w:val="0"/>
              </w:rPr>
              <w:t>ffender</w:t>
            </w:r>
            <w:r>
              <w:rPr>
                <w:b w:val="0"/>
                <w:bCs w:val="0"/>
              </w:rPr>
              <w:t xml:space="preserve"> notification requirements</w:t>
            </w:r>
            <w:r w:rsidRPr="004265C9">
              <w:rPr>
                <w:b w:val="0"/>
                <w:bCs w:val="0"/>
              </w:rPr>
              <w:t xml:space="preserve"> per 100,000 population</w:t>
            </w:r>
          </w:p>
        </w:tc>
        <w:tc>
          <w:tcPr>
            <w:tcW w:w="2113" w:type="dxa"/>
          </w:tcPr>
          <w:p w14:paraId="0D5E888F" w14:textId="61F91312" w:rsidR="003A5ED2" w:rsidRPr="004265C9" w:rsidRDefault="00CB379A" w:rsidP="00641CE6">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129</w:t>
            </w:r>
          </w:p>
        </w:tc>
      </w:tr>
    </w:tbl>
    <w:p w14:paraId="7B3F4526" w14:textId="77777777" w:rsidR="00CB379A" w:rsidRDefault="00CB379A" w:rsidP="00CB379A">
      <w:pPr>
        <w:rPr>
          <w:rFonts w:ascii="Arial" w:hAnsi="Arial" w:cs="Arial"/>
          <w:b/>
          <w:bCs/>
        </w:rPr>
      </w:pPr>
    </w:p>
    <w:p w14:paraId="0D2C9FC2" w14:textId="2BE09966" w:rsidR="00CB379A" w:rsidRPr="00E257B1" w:rsidRDefault="00CB379A" w:rsidP="00CB379A">
      <w:pPr>
        <w:jc w:val="both"/>
        <w:rPr>
          <w:rFonts w:ascii="Arial" w:hAnsi="Arial" w:cs="Arial"/>
          <w:sz w:val="22"/>
          <w:szCs w:val="22"/>
        </w:rPr>
      </w:pPr>
      <w:r w:rsidRPr="00E257B1">
        <w:rPr>
          <w:rFonts w:ascii="Arial" w:hAnsi="Arial" w:cs="Arial"/>
          <w:sz w:val="22"/>
          <w:szCs w:val="22"/>
        </w:rPr>
        <w:t>This figure has been calculated using the mid-2021 estimated resident population, published by the Office for National Statistics (ONS) on 21 December 202</w:t>
      </w:r>
      <w:r w:rsidR="004C4B3B">
        <w:rPr>
          <w:rFonts w:ascii="Arial" w:hAnsi="Arial" w:cs="Arial"/>
          <w:sz w:val="22"/>
          <w:szCs w:val="22"/>
        </w:rPr>
        <w:t>2</w:t>
      </w:r>
      <w:r w:rsidRPr="00E257B1">
        <w:rPr>
          <w:rFonts w:ascii="Arial" w:hAnsi="Arial" w:cs="Arial"/>
          <w:sz w:val="22"/>
          <w:szCs w:val="22"/>
        </w:rPr>
        <w:t xml:space="preserve">, excluding those aged less than ten years of age. </w:t>
      </w:r>
    </w:p>
    <w:p w14:paraId="03F97D91" w14:textId="77777777" w:rsidR="00CB379A" w:rsidRPr="00E257B1" w:rsidRDefault="00CB379A" w:rsidP="00CB379A">
      <w:pPr>
        <w:jc w:val="both"/>
        <w:rPr>
          <w:rFonts w:ascii="Arial" w:hAnsi="Arial" w:cs="Arial"/>
          <w:sz w:val="22"/>
          <w:szCs w:val="22"/>
        </w:rPr>
      </w:pPr>
    </w:p>
    <w:p w14:paraId="1552DDF9" w14:textId="331C05B6" w:rsidR="00CB379A" w:rsidRPr="00E257B1" w:rsidRDefault="00CB379A" w:rsidP="00CB379A">
      <w:pPr>
        <w:jc w:val="both"/>
        <w:rPr>
          <w:rFonts w:ascii="Arial" w:hAnsi="Arial" w:cs="Arial"/>
          <w:sz w:val="22"/>
          <w:szCs w:val="22"/>
        </w:rPr>
      </w:pPr>
      <w:r w:rsidRPr="00E257B1">
        <w:rPr>
          <w:rFonts w:ascii="Arial" w:hAnsi="Arial" w:cs="Arial"/>
          <w:sz w:val="22"/>
          <w:szCs w:val="22"/>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271A5913" w14:textId="77777777" w:rsidR="00CB379A" w:rsidRPr="00E257B1" w:rsidRDefault="00CB379A" w:rsidP="00CB379A">
      <w:pPr>
        <w:jc w:val="both"/>
        <w:rPr>
          <w:rFonts w:ascii="Arial" w:hAnsi="Arial" w:cs="Arial"/>
          <w:sz w:val="20"/>
          <w:szCs w:val="20"/>
        </w:rPr>
      </w:pPr>
    </w:p>
    <w:p w14:paraId="1F11D471" w14:textId="4606A071" w:rsidR="00542928" w:rsidRDefault="00542928" w:rsidP="00542928">
      <w:pPr>
        <w:sectPr w:rsidR="00542928" w:rsidSect="003A5ED2">
          <w:footerReference w:type="default" r:id="rId26"/>
          <w:pgSz w:w="11905" w:h="16837" w:code="9"/>
          <w:pgMar w:top="720" w:right="720" w:bottom="720" w:left="720" w:header="720" w:footer="567" w:gutter="0"/>
          <w:cols w:space="720"/>
          <w:noEndnote/>
        </w:sectPr>
      </w:pPr>
    </w:p>
    <w:p w14:paraId="0A0FB4EB" w14:textId="77777777" w:rsidR="00332EE6" w:rsidRPr="00DD3E69" w:rsidRDefault="00332EE6" w:rsidP="00296A85">
      <w:pPr>
        <w:pStyle w:val="Heading1"/>
        <w:jc w:val="left"/>
        <w:rPr>
          <w:sz w:val="72"/>
          <w:szCs w:val="72"/>
        </w:rPr>
      </w:pPr>
      <w:r w:rsidRPr="00DD3E69">
        <w:rPr>
          <w:sz w:val="72"/>
          <w:szCs w:val="72"/>
        </w:rPr>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7"/>
          <w:pgSz w:w="11905" w:h="16837" w:code="9"/>
          <w:pgMar w:top="720" w:right="720" w:bottom="720" w:left="720" w:header="720" w:footer="567" w:gutter="0"/>
          <w:cols w:space="720"/>
          <w:noEndnote/>
        </w:sect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198F537D" w14:textId="77777777" w:rsidR="003A5ED2" w:rsidRPr="00B510E5" w:rsidRDefault="003A5ED2" w:rsidP="003A5ED2">
      <w:pPr>
        <w:pStyle w:val="MAPPA-Bodytext"/>
        <w:rPr>
          <w:sz w:val="24"/>
          <w:szCs w:val="24"/>
          <w:lang w:val="en-GB"/>
        </w:rPr>
      </w:pPr>
      <w:r w:rsidRPr="00B510E5">
        <w:rPr>
          <w:sz w:val="24"/>
          <w:szCs w:val="24"/>
          <w:lang w:val="en-GB"/>
        </w:rPr>
        <w:t xml:space="preserve">The totals of MAPPA-eligible </w:t>
      </w:r>
      <w:r>
        <w:rPr>
          <w:sz w:val="24"/>
          <w:szCs w:val="24"/>
          <w:lang w:val="en-GB"/>
        </w:rPr>
        <w:t>individuals</w:t>
      </w:r>
      <w:r w:rsidRPr="00B510E5">
        <w:rPr>
          <w:sz w:val="24"/>
          <w:szCs w:val="24"/>
          <w:lang w:val="en-GB"/>
        </w:rPr>
        <w:t>, broken down by category, reflect the picture on 31 March 2023 (i.e. they are a snapshot). The rest of the data covers the period 1 April 2022 to 31 March 2023.</w:t>
      </w:r>
    </w:p>
    <w:p w14:paraId="2A82998F" w14:textId="77777777" w:rsidR="003A5ED2" w:rsidRPr="00B510E5" w:rsidRDefault="003A5ED2" w:rsidP="003A5ED2">
      <w:pPr>
        <w:pStyle w:val="MAPPA-Bodytext"/>
        <w:rPr>
          <w:sz w:val="24"/>
          <w:szCs w:val="24"/>
          <w:lang w:val="en-GB"/>
        </w:rPr>
      </w:pPr>
      <w:r w:rsidRPr="00B510E5">
        <w:rPr>
          <w:rStyle w:val="Style3Char"/>
          <w:sz w:val="24"/>
          <w:szCs w:val="24"/>
        </w:rPr>
        <w:t xml:space="preserve">(a) MAPPA-eligible </w:t>
      </w:r>
      <w:r>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Pr>
          <w:sz w:val="24"/>
          <w:szCs w:val="24"/>
          <w:lang w:val="en-GB"/>
        </w:rPr>
        <w:t>individuals</w:t>
      </w:r>
      <w:r w:rsidRPr="00B510E5">
        <w:rPr>
          <w:sz w:val="24"/>
          <w:szCs w:val="24"/>
          <w:lang w:val="en-GB"/>
        </w:rPr>
        <w:t xml:space="preserve"> defined in law as eligible for MAPPA management because they have committed specified sexual</w:t>
      </w:r>
      <w:r>
        <w:rPr>
          <w:sz w:val="24"/>
          <w:szCs w:val="24"/>
          <w:lang w:val="en-GB"/>
        </w:rPr>
        <w:t>,</w:t>
      </w:r>
      <w:r w:rsidRPr="00B510E5">
        <w:rPr>
          <w:sz w:val="24"/>
          <w:szCs w:val="24"/>
          <w:lang w:val="en-GB"/>
        </w:rPr>
        <w:t xml:space="preserve"> violent</w:t>
      </w:r>
      <w:r>
        <w:rPr>
          <w:sz w:val="24"/>
          <w:szCs w:val="24"/>
          <w:lang w:val="en-GB"/>
        </w:rPr>
        <w:t xml:space="preserve"> or terrorist</w:t>
      </w:r>
      <w:r w:rsidRPr="00B510E5">
        <w:rPr>
          <w:sz w:val="24"/>
          <w:szCs w:val="24"/>
          <w:lang w:val="en-GB"/>
        </w:rPr>
        <w:t xml:space="preserve"> offences or they currently pose a risk of serious harm</w:t>
      </w:r>
      <w:r>
        <w:rPr>
          <w:sz w:val="24"/>
          <w:szCs w:val="24"/>
          <w:lang w:val="en-GB"/>
        </w:rPr>
        <w:t>.</w:t>
      </w:r>
      <w:r w:rsidRPr="00B510E5">
        <w:rPr>
          <w:sz w:val="24"/>
          <w:szCs w:val="24"/>
          <w:lang w:val="en-GB"/>
        </w:rPr>
        <w:t xml:space="preserve"> </w:t>
      </w:r>
      <w:r>
        <w:rPr>
          <w:sz w:val="24"/>
          <w:szCs w:val="24"/>
          <w:lang w:val="en-GB"/>
        </w:rPr>
        <w:t>T</w:t>
      </w:r>
      <w:r w:rsidRPr="00B510E5">
        <w:rPr>
          <w:sz w:val="24"/>
          <w:szCs w:val="24"/>
          <w:lang w:val="en-GB"/>
        </w:rPr>
        <w:t xml:space="preserve">he majority are managed at Level 1 without formal MAPPA meetings. These figures only include those MAPPA eligible </w:t>
      </w:r>
      <w:r>
        <w:rPr>
          <w:sz w:val="24"/>
          <w:szCs w:val="24"/>
          <w:lang w:val="en-GB"/>
        </w:rPr>
        <w:t>individuals</w:t>
      </w:r>
      <w:r w:rsidRPr="00B510E5">
        <w:rPr>
          <w:sz w:val="24"/>
          <w:szCs w:val="24"/>
          <w:lang w:val="en-GB"/>
        </w:rPr>
        <w:t xml:space="preserve"> living in the community. They do not include those in prison or detained under the Mental Health Act.</w:t>
      </w:r>
    </w:p>
    <w:p w14:paraId="6F49D0CC" w14:textId="77777777" w:rsidR="003A5ED2" w:rsidRPr="00B510E5" w:rsidRDefault="003A5ED2" w:rsidP="003A5ED2">
      <w:pPr>
        <w:pStyle w:val="MAPPA-Bodytext"/>
        <w:rPr>
          <w:sz w:val="24"/>
          <w:szCs w:val="24"/>
          <w:lang w:val="en-GB"/>
        </w:rPr>
      </w:pPr>
      <w:r w:rsidRPr="00B510E5">
        <w:rPr>
          <w:rStyle w:val="Style3Char"/>
          <w:sz w:val="24"/>
          <w:szCs w:val="24"/>
        </w:rPr>
        <w:t>(b) 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These </w:t>
      </w:r>
      <w:r>
        <w:rPr>
          <w:sz w:val="24"/>
          <w:szCs w:val="24"/>
          <w:lang w:val="en-GB"/>
        </w:rPr>
        <w:t>individuals</w:t>
      </w:r>
      <w:r w:rsidRPr="00B510E5">
        <w:rPr>
          <w:sz w:val="24"/>
          <w:szCs w:val="24"/>
          <w:lang w:val="en-GB"/>
        </w:rPr>
        <w:t xml:space="preserve"> are assessed and managed by the police. They may also be managed by probation or health services if they are subject to licence or a hospital order. Failure to comply with the notification requirement is a criminal offence that carries a maximum penalty of 5 years’ imprisonment.</w:t>
      </w:r>
    </w:p>
    <w:p w14:paraId="7DDC17BE" w14:textId="4DD114F5" w:rsidR="003A5ED2" w:rsidRPr="00B510E5" w:rsidRDefault="003A5ED2" w:rsidP="003A5ED2">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Pr>
          <w:sz w:val="24"/>
          <w:szCs w:val="24"/>
          <w:lang w:val="en-GB"/>
        </w:rPr>
        <w:t xml:space="preserve"> individuals convicted of </w:t>
      </w:r>
      <w:r w:rsidRPr="00B510E5">
        <w:rPr>
          <w:sz w:val="24"/>
          <w:szCs w:val="24"/>
          <w:lang w:val="en-GB"/>
        </w:rPr>
        <w:t>violent offen</w:t>
      </w:r>
      <w:r>
        <w:rPr>
          <w:sz w:val="24"/>
          <w:szCs w:val="24"/>
          <w:lang w:val="en-GB"/>
        </w:rPr>
        <w:t>ces who were</w:t>
      </w:r>
      <w:r w:rsidRPr="00B510E5">
        <w:rPr>
          <w:sz w:val="24"/>
          <w:szCs w:val="24"/>
          <w:lang w:val="en-GB"/>
        </w:rPr>
        <w:t xml:space="preserve"> sentenced to imprisonment or detention for 12 months or more, or detained under a hospital order</w:t>
      </w:r>
      <w:r>
        <w:rPr>
          <w:sz w:val="24"/>
          <w:szCs w:val="24"/>
          <w:lang w:val="en-GB"/>
        </w:rPr>
        <w:t xml:space="preserve"> and</w:t>
      </w:r>
      <w:r w:rsidRPr="00B510E5">
        <w:rPr>
          <w:sz w:val="24"/>
          <w:szCs w:val="24"/>
          <w:lang w:val="en-GB"/>
        </w:rPr>
        <w:t xml:space="preserve"> a small number of </w:t>
      </w:r>
      <w:r>
        <w:rPr>
          <w:sz w:val="24"/>
          <w:szCs w:val="24"/>
          <w:lang w:val="en-GB"/>
        </w:rPr>
        <w:t xml:space="preserve">individuals convicted of </w:t>
      </w:r>
      <w:r w:rsidRPr="00B510E5">
        <w:rPr>
          <w:sz w:val="24"/>
          <w:szCs w:val="24"/>
          <w:lang w:val="en-GB"/>
        </w:rPr>
        <w:t>sexual offen</w:t>
      </w:r>
      <w:r>
        <w:rPr>
          <w:sz w:val="24"/>
          <w:szCs w:val="24"/>
          <w:lang w:val="en-GB"/>
        </w:rPr>
        <w:t>ces</w:t>
      </w:r>
      <w:r w:rsidRPr="00B510E5">
        <w:rPr>
          <w:sz w:val="24"/>
          <w:szCs w:val="24"/>
          <w:lang w:val="en-GB"/>
        </w:rPr>
        <w:t xml:space="preserve"> who are not subject to notification requirements. These </w:t>
      </w:r>
      <w:r>
        <w:rPr>
          <w:sz w:val="24"/>
          <w:szCs w:val="24"/>
          <w:lang w:val="en-GB"/>
        </w:rPr>
        <w:t>individuals</w:t>
      </w:r>
      <w:r w:rsidRPr="00B510E5">
        <w:rPr>
          <w:sz w:val="24"/>
          <w:szCs w:val="24"/>
          <w:lang w:val="en-GB"/>
        </w:rPr>
        <w:t xml:space="preserve"> are assessed and managed by the Probation Service, Youth Offending </w:t>
      </w:r>
      <w:r w:rsidR="00C10AB7" w:rsidRPr="00B510E5">
        <w:rPr>
          <w:sz w:val="24"/>
          <w:szCs w:val="24"/>
          <w:lang w:val="en-GB"/>
        </w:rPr>
        <w:t>Team,</w:t>
      </w:r>
      <w:r w:rsidRPr="00B510E5">
        <w:rPr>
          <w:sz w:val="24"/>
          <w:szCs w:val="24"/>
          <w:lang w:val="en-GB"/>
        </w:rPr>
        <w:t xml:space="preserve"> or Mental Health Services. </w:t>
      </w:r>
    </w:p>
    <w:p w14:paraId="7F87DB1E" w14:textId="0A932FC7" w:rsidR="003A5ED2" w:rsidRDefault="003A5ED2" w:rsidP="003A5ED2">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Pr>
          <w:sz w:val="24"/>
          <w:szCs w:val="24"/>
          <w:lang w:val="en-GB"/>
        </w:rPr>
        <w:t>individuals</w:t>
      </w:r>
      <w:r w:rsidRPr="00B510E5">
        <w:rPr>
          <w:sz w:val="24"/>
          <w:szCs w:val="24"/>
          <w:lang w:val="en-GB"/>
        </w:rPr>
        <w:t xml:space="preserve"> who do not qualify under the other </w:t>
      </w:r>
      <w:r w:rsidRPr="00B510E5">
        <w:rPr>
          <w:sz w:val="24"/>
          <w:szCs w:val="24"/>
          <w:lang w:val="en-GB"/>
        </w:rPr>
        <w:t xml:space="preserve">MAPPA-eligible </w:t>
      </w:r>
      <w:r w:rsidR="00DD3E69" w:rsidRPr="00B510E5">
        <w:rPr>
          <w:sz w:val="24"/>
          <w:szCs w:val="24"/>
          <w:lang w:val="en-GB"/>
        </w:rPr>
        <w:t>categories but</w:t>
      </w:r>
      <w:r w:rsidRPr="00B510E5">
        <w:rPr>
          <w:sz w:val="24"/>
          <w:szCs w:val="24"/>
          <w:lang w:val="en-GB"/>
        </w:rPr>
        <w:t xml:space="preserve"> </w:t>
      </w:r>
      <w:r>
        <w:rPr>
          <w:sz w:val="24"/>
          <w:szCs w:val="24"/>
          <w:lang w:val="en-GB"/>
        </w:rPr>
        <w:t>have committed an offence that indicates that they</w:t>
      </w:r>
      <w:r w:rsidRPr="00B510E5">
        <w:rPr>
          <w:sz w:val="24"/>
          <w:szCs w:val="24"/>
          <w:lang w:val="en-GB"/>
        </w:rPr>
        <w:t xml:space="preserve"> pose a risk of serious harm which requires management via MAPPA meetings. These </w:t>
      </w:r>
      <w:r>
        <w:rPr>
          <w:sz w:val="24"/>
          <w:szCs w:val="24"/>
          <w:lang w:val="en-GB"/>
        </w:rPr>
        <w:t>individuals</w:t>
      </w:r>
      <w:r w:rsidRPr="00B510E5">
        <w:rPr>
          <w:sz w:val="24"/>
          <w:szCs w:val="24"/>
          <w:lang w:val="en-GB"/>
        </w:rPr>
        <w:t xml:space="preserve"> are assessed and managed by whichever agency has the primary responsibility for them.</w:t>
      </w:r>
    </w:p>
    <w:p w14:paraId="19EDFAEC" w14:textId="77777777" w:rsidR="003A5ED2" w:rsidRPr="00B510E5" w:rsidRDefault="003A5ED2" w:rsidP="003A5ED2">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Pr>
          <w:sz w:val="24"/>
          <w:szCs w:val="24"/>
          <w:lang w:val="en-GB"/>
        </w:rPr>
        <w:t xml:space="preserve"> individuals subject to terrorism offender notification requirements; individuals convicted of terrorism or terrorism related</w:t>
      </w:r>
      <w:r w:rsidRPr="00B510E5">
        <w:rPr>
          <w:sz w:val="24"/>
          <w:szCs w:val="24"/>
          <w:lang w:val="en-GB"/>
        </w:rPr>
        <w:t xml:space="preserve"> offen</w:t>
      </w:r>
      <w:r>
        <w:rPr>
          <w:sz w:val="24"/>
          <w:szCs w:val="24"/>
          <w:lang w:val="en-GB"/>
        </w:rPr>
        <w:t>ces who were</w:t>
      </w:r>
      <w:r w:rsidRPr="00B510E5">
        <w:rPr>
          <w:sz w:val="24"/>
          <w:szCs w:val="24"/>
          <w:lang w:val="en-GB"/>
        </w:rPr>
        <w:t xml:space="preserve"> sentenced to imprisonment or detention for 12 months or more, or detained under a hospital order</w:t>
      </w:r>
      <w:r>
        <w:rPr>
          <w:sz w:val="24"/>
          <w:szCs w:val="24"/>
          <w:lang w:val="en-GB"/>
        </w:rPr>
        <w:t xml:space="preserve">; and those who have </w:t>
      </w:r>
      <w:r w:rsidRPr="00305294">
        <w:rPr>
          <w:sz w:val="24"/>
          <w:szCs w:val="24"/>
          <w:lang w:val="en-GB"/>
        </w:rPr>
        <w:t>committed an offence and may be at risk of involvement in terrorism-related activity</w:t>
      </w:r>
      <w:r>
        <w:rPr>
          <w:sz w:val="24"/>
          <w:szCs w:val="24"/>
          <w:lang w:val="en-GB"/>
        </w:rPr>
        <w:t>.</w:t>
      </w:r>
      <w:r w:rsidRPr="00B510E5">
        <w:rPr>
          <w:sz w:val="24"/>
          <w:szCs w:val="24"/>
          <w:lang w:val="en-GB"/>
        </w:rPr>
        <w:t xml:space="preserve"> These </w:t>
      </w:r>
      <w:r>
        <w:rPr>
          <w:sz w:val="24"/>
          <w:szCs w:val="24"/>
          <w:lang w:val="en-GB"/>
        </w:rPr>
        <w:t>individuals</w:t>
      </w:r>
      <w:r w:rsidRPr="00B510E5">
        <w:rPr>
          <w:sz w:val="24"/>
          <w:szCs w:val="24"/>
          <w:lang w:val="en-GB"/>
        </w:rPr>
        <w:t xml:space="preserve"> are assessed and managed by </w:t>
      </w:r>
      <w:r>
        <w:rPr>
          <w:sz w:val="24"/>
          <w:szCs w:val="24"/>
          <w:lang w:val="en-GB"/>
        </w:rPr>
        <w:t>Counter-Terrorism Police and the National Security Division of the Probation Service</w:t>
      </w:r>
      <w:r w:rsidRPr="00B510E5">
        <w:rPr>
          <w:sz w:val="24"/>
          <w:szCs w:val="24"/>
          <w:lang w:val="en-GB"/>
        </w:rPr>
        <w:t>.</w:t>
      </w:r>
      <w:r>
        <w:rPr>
          <w:sz w:val="24"/>
          <w:szCs w:val="24"/>
          <w:lang w:val="en-GB"/>
        </w:rPr>
        <w:t xml:space="preserve"> </w:t>
      </w:r>
    </w:p>
    <w:p w14:paraId="59BFEE4C" w14:textId="77777777" w:rsidR="003A5ED2" w:rsidRPr="00B510E5" w:rsidRDefault="003A5ED2" w:rsidP="003A5ED2">
      <w:pPr>
        <w:pStyle w:val="MAPPA-Bodytext"/>
        <w:rPr>
          <w:sz w:val="24"/>
          <w:szCs w:val="24"/>
          <w:lang w:val="en-GB"/>
        </w:rPr>
      </w:pPr>
      <w:r w:rsidRPr="00B510E5">
        <w:rPr>
          <w:rStyle w:val="Style3Char"/>
          <w:sz w:val="24"/>
          <w:szCs w:val="24"/>
        </w:rPr>
        <w:t>(</w:t>
      </w:r>
      <w:r>
        <w:rPr>
          <w:rStyle w:val="Style3Char"/>
          <w:sz w:val="24"/>
          <w:szCs w:val="24"/>
        </w:rPr>
        <w:t>f</w:t>
      </w:r>
      <w:r w:rsidRPr="00B510E5">
        <w:rPr>
          <w:rStyle w:val="Style3Char"/>
          <w:sz w:val="24"/>
          <w:szCs w:val="24"/>
        </w:rPr>
        <w:t>) Breach of Licence</w:t>
      </w:r>
      <w:r w:rsidRPr="00B510E5">
        <w:rPr>
          <w:color w:val="7030A0"/>
          <w:sz w:val="24"/>
          <w:szCs w:val="24"/>
          <w:lang w:val="en-GB"/>
        </w:rPr>
        <w:t xml:space="preserve"> </w:t>
      </w:r>
      <w:r w:rsidRPr="00B510E5">
        <w:rPr>
          <w:sz w:val="24"/>
          <w:szCs w:val="24"/>
          <w:lang w:val="en-GB"/>
        </w:rPr>
        <w:t xml:space="preserve">– </w:t>
      </w:r>
      <w:r>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 the </w:t>
      </w:r>
      <w:r>
        <w:rPr>
          <w:sz w:val="24"/>
          <w:szCs w:val="24"/>
          <w:lang w:val="en-GB"/>
        </w:rPr>
        <w:t>individual</w:t>
      </w:r>
      <w:r w:rsidRPr="00B510E5">
        <w:rPr>
          <w:sz w:val="24"/>
          <w:szCs w:val="24"/>
          <w:lang w:val="en-GB"/>
        </w:rPr>
        <w:t xml:space="preserve"> does not comply with these conditions, the Probation Service will take breach action and the </w:t>
      </w:r>
      <w:r>
        <w:rPr>
          <w:sz w:val="24"/>
          <w:szCs w:val="24"/>
          <w:lang w:val="en-GB"/>
        </w:rPr>
        <w:t>individual</w:t>
      </w:r>
      <w:r w:rsidRPr="00B510E5">
        <w:rPr>
          <w:sz w:val="24"/>
          <w:szCs w:val="24"/>
          <w:lang w:val="en-GB"/>
        </w:rPr>
        <w:t xml:space="preserve"> may be recalled to prison.</w:t>
      </w:r>
    </w:p>
    <w:p w14:paraId="3325CD26" w14:textId="77777777" w:rsidR="003A5ED2" w:rsidRPr="00B510E5" w:rsidRDefault="003A5ED2" w:rsidP="003A5ED2">
      <w:pPr>
        <w:pStyle w:val="MAPPA-Bodytext"/>
        <w:rPr>
          <w:sz w:val="24"/>
          <w:szCs w:val="24"/>
          <w:lang w:val="en-GB"/>
        </w:rPr>
      </w:pPr>
      <w:r w:rsidRPr="00B510E5">
        <w:rPr>
          <w:rStyle w:val="Style3Char"/>
          <w:sz w:val="24"/>
          <w:szCs w:val="24"/>
        </w:rPr>
        <w:t>(</w:t>
      </w:r>
      <w:r>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Pr>
          <w:sz w:val="24"/>
          <w:szCs w:val="24"/>
          <w:lang w:val="en-GB"/>
        </w:rPr>
        <w:t>individuals</w:t>
      </w:r>
      <w:r w:rsidRPr="00B510E5">
        <w:rPr>
          <w:sz w:val="24"/>
          <w:szCs w:val="24"/>
          <w:lang w:val="en-GB"/>
        </w:rPr>
        <w:t xml:space="preserve"> convicted of a sexual or violent offence who pose a risk of sexual harm to the public by placing restrictions and/or positive obligations on their behaviour. They require the </w:t>
      </w:r>
      <w:r>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C3C0817" w14:textId="5F79AA13" w:rsidR="003A5ED2" w:rsidRPr="00B510E5" w:rsidRDefault="003A5ED2" w:rsidP="003A5ED2">
      <w:pPr>
        <w:pStyle w:val="MAPPA-Bodytext"/>
        <w:rPr>
          <w:sz w:val="24"/>
          <w:szCs w:val="24"/>
          <w:lang w:val="en-GB"/>
        </w:rPr>
      </w:pPr>
      <w:r w:rsidRPr="00B510E5">
        <w:rPr>
          <w:sz w:val="24"/>
          <w:szCs w:val="24"/>
          <w:lang w:val="en-GB"/>
        </w:rPr>
        <w:t xml:space="preserve">The court must be satisfied on the balance of probability that an order is necessary to protect the public (or any particular members </w:t>
      </w:r>
      <w:r w:rsidRPr="00B510E5">
        <w:rPr>
          <w:sz w:val="24"/>
          <w:szCs w:val="24"/>
          <w:lang w:val="en-GB"/>
        </w:rPr>
        <w:lastRenderedPageBreak/>
        <w:t xml:space="preserve">of the public) in the UK, or children or vulnerable adults (or any particular children or vulnerable adults) abroad, from sexual harm from the </w:t>
      </w:r>
      <w:r>
        <w:rPr>
          <w:sz w:val="24"/>
          <w:szCs w:val="24"/>
          <w:lang w:val="en-GB"/>
        </w:rPr>
        <w:t>individual</w:t>
      </w:r>
      <w:r w:rsidRPr="00B510E5">
        <w:rPr>
          <w:sz w:val="24"/>
          <w:szCs w:val="24"/>
          <w:lang w:val="en-GB"/>
        </w:rPr>
        <w:t xml:space="preserve">. In the case of an order made on a </w:t>
      </w:r>
      <w:r w:rsidR="00C10AB7" w:rsidRPr="00B510E5">
        <w:rPr>
          <w:sz w:val="24"/>
          <w:szCs w:val="24"/>
          <w:lang w:val="en-GB"/>
        </w:rPr>
        <w:t>free-standing</w:t>
      </w:r>
      <w:r w:rsidRPr="00B510E5">
        <w:rPr>
          <w:sz w:val="24"/>
          <w:szCs w:val="24"/>
          <w:lang w:val="en-GB"/>
        </w:rPr>
        <w:t xml:space="preserve"> application by a </w:t>
      </w:r>
      <w:r>
        <w:rPr>
          <w:sz w:val="24"/>
          <w:szCs w:val="24"/>
          <w:lang w:val="en-GB"/>
        </w:rPr>
        <w:t>C</w:t>
      </w:r>
      <w:r w:rsidRPr="00B510E5">
        <w:rPr>
          <w:sz w:val="24"/>
          <w:szCs w:val="24"/>
          <w:lang w:val="en-GB"/>
        </w:rPr>
        <w:t xml:space="preserve">hief </w:t>
      </w:r>
      <w:r>
        <w:rPr>
          <w:sz w:val="24"/>
          <w:szCs w:val="24"/>
          <w:lang w:val="en-GB"/>
        </w:rPr>
        <w:t>O</w:t>
      </w:r>
      <w:r w:rsidRPr="00B510E5">
        <w:rPr>
          <w:sz w:val="24"/>
          <w:szCs w:val="24"/>
          <w:lang w:val="en-GB"/>
        </w:rPr>
        <w:t>fficer,</w:t>
      </w:r>
      <w:r w:rsidRPr="00B510E5" w:rsidDel="00332EE6">
        <w:rPr>
          <w:sz w:val="24"/>
          <w:szCs w:val="24"/>
          <w:lang w:val="en-GB"/>
        </w:rPr>
        <w:t xml:space="preserve"> </w:t>
      </w:r>
      <w:r w:rsidRPr="00B510E5">
        <w:rPr>
          <w:sz w:val="24"/>
          <w:szCs w:val="24"/>
          <w:lang w:val="en-GB"/>
        </w:rPr>
        <w:t>the National Crime Agency (NCA), British Transport Police (BTP) or the Ministry of Defence Police (MODP)</w:t>
      </w:r>
      <w:r>
        <w:rPr>
          <w:sz w:val="24"/>
          <w:szCs w:val="24"/>
          <w:lang w:val="en-GB"/>
        </w:rPr>
        <w:t>,</w:t>
      </w:r>
      <w:r w:rsidRPr="00B510E5">
        <w:rPr>
          <w:sz w:val="24"/>
          <w:szCs w:val="24"/>
          <w:lang w:val="en-GB"/>
        </w:rPr>
        <w:t xml:space="preserve"> </w:t>
      </w:r>
      <w:r>
        <w:rPr>
          <w:sz w:val="24"/>
          <w:szCs w:val="24"/>
          <w:lang w:val="en-GB"/>
        </w:rPr>
        <w:t>th</w:t>
      </w:r>
      <w:r w:rsidRPr="00B510E5">
        <w:rPr>
          <w:sz w:val="24"/>
          <w:szCs w:val="24"/>
          <w:lang w:val="en-GB"/>
        </w:rPr>
        <w:t xml:space="preserve">e chief officer/NCA/BTP/MODP must be able to show that the </w:t>
      </w:r>
      <w:r>
        <w:rPr>
          <w:sz w:val="24"/>
          <w:szCs w:val="24"/>
          <w:lang w:val="en-GB"/>
        </w:rPr>
        <w:t>individual</w:t>
      </w:r>
      <w:r w:rsidRPr="00B510E5">
        <w:rPr>
          <w:sz w:val="24"/>
          <w:szCs w:val="24"/>
          <w:lang w:val="en-GB"/>
        </w:rPr>
        <w:t xml:space="preserve"> has acted in a way since their conviction </w:t>
      </w:r>
      <w:r>
        <w:rPr>
          <w:sz w:val="24"/>
          <w:szCs w:val="24"/>
          <w:lang w:val="en-GB"/>
        </w:rPr>
        <w:t>that</w:t>
      </w:r>
      <w:r w:rsidRPr="00B510E5">
        <w:rPr>
          <w:sz w:val="24"/>
          <w:szCs w:val="24"/>
          <w:lang w:val="en-GB"/>
        </w:rPr>
        <w:t xml:space="preserve"> make</w:t>
      </w:r>
      <w:r>
        <w:rPr>
          <w:sz w:val="24"/>
          <w:szCs w:val="24"/>
          <w:lang w:val="en-GB"/>
        </w:rPr>
        <w:t>s</w:t>
      </w:r>
      <w:r w:rsidRPr="00B510E5">
        <w:rPr>
          <w:sz w:val="24"/>
          <w:szCs w:val="24"/>
          <w:lang w:val="en-GB"/>
        </w:rPr>
        <w:t xml:space="preserve"> the order necessary.</w:t>
      </w:r>
    </w:p>
    <w:p w14:paraId="360F39AA" w14:textId="77777777" w:rsidR="003A5ED2" w:rsidRPr="00B510E5" w:rsidRDefault="003A5ED2" w:rsidP="003A5ED2">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01240A66" w14:textId="77777777" w:rsidR="003A5ED2" w:rsidRPr="00B510E5" w:rsidRDefault="003A5ED2" w:rsidP="003A5ED2">
      <w:pPr>
        <w:pStyle w:val="MAPPA-Bodytext"/>
        <w:rPr>
          <w:sz w:val="24"/>
          <w:szCs w:val="24"/>
          <w:lang w:val="en-GB"/>
        </w:rPr>
      </w:pPr>
      <w:r w:rsidRPr="00B510E5">
        <w:rPr>
          <w:rStyle w:val="Style3Char"/>
          <w:sz w:val="24"/>
          <w:szCs w:val="24"/>
        </w:rPr>
        <w:t>(</w:t>
      </w:r>
      <w:r>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xml:space="preserve">– this requires individuals convicted of qualifying sexual offences overseas to register with the police, in order to protect the public in the UK from the risks that they pose. The police in England and Wales may issue a notification order directly to an offender who is already in the UK or who is intending to come to the UK who has to notify within three days of receipt. </w:t>
      </w:r>
      <w:r>
        <w:rPr>
          <w:sz w:val="24"/>
          <w:szCs w:val="24"/>
          <w:lang w:val="en-GB"/>
        </w:rPr>
        <w:t>Individuals</w:t>
      </w:r>
      <w:r w:rsidRPr="00B510E5">
        <w:rPr>
          <w:sz w:val="24"/>
          <w:szCs w:val="24"/>
          <w:lang w:val="en-GB"/>
        </w:rPr>
        <w:t xml:space="preserve"> have a right of appeal against notification.</w:t>
      </w:r>
    </w:p>
    <w:p w14:paraId="5EAFA426" w14:textId="77777777" w:rsidR="003A5ED2" w:rsidRPr="00B510E5" w:rsidRDefault="003A5ED2" w:rsidP="003A5ED2">
      <w:pPr>
        <w:pStyle w:val="Style3"/>
        <w:spacing w:before="0" w:after="240" w:line="260" w:lineRule="exact"/>
        <w:rPr>
          <w:b w:val="0"/>
          <w:bCs/>
          <w:color w:val="auto"/>
          <w:sz w:val="24"/>
          <w:szCs w:val="24"/>
        </w:rPr>
      </w:pPr>
      <w:r w:rsidRPr="00B510E5">
        <w:rPr>
          <w:sz w:val="24"/>
          <w:szCs w:val="24"/>
        </w:rPr>
        <w:t>(</w:t>
      </w:r>
      <w:r>
        <w:rPr>
          <w:sz w:val="24"/>
          <w:szCs w:val="24"/>
        </w:rPr>
        <w:t>i</w:t>
      </w:r>
      <w:r w:rsidRPr="00B510E5">
        <w:rPr>
          <w:sz w:val="24"/>
          <w:szCs w:val="24"/>
        </w:rPr>
        <w:t xml:space="preserve">) Sexual Risk Order (including any additional foreign travel restriction) </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3392F62" w14:textId="77777777" w:rsidR="003A5ED2" w:rsidRPr="00B510E5" w:rsidRDefault="003A5ED2" w:rsidP="003A5ED2">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Pr="00B510E5" w:rsidDel="00332EE6">
        <w:rPr>
          <w:rFonts w:ascii="Arial" w:hAnsi="Arial" w:cs="Arial"/>
        </w:rPr>
        <w:t xml:space="preserve"> </w:t>
      </w:r>
      <w:r w:rsidRPr="00B510E5">
        <w:rPr>
          <w:rFonts w:ascii="Arial" w:hAnsi="Arial" w:cs="Arial"/>
        </w:rPr>
        <w:t>NCA, BTP or MODP where an individual has committed an act of a sexual nature and the court is satisfied that the person poses a risk of harm to the public in the UK or children or vulnerable adults overseas.</w:t>
      </w:r>
    </w:p>
    <w:p w14:paraId="13DB7EEC" w14:textId="77777777" w:rsidR="003A5ED2" w:rsidRPr="00B510E5" w:rsidRDefault="003A5ED2" w:rsidP="003A5ED2">
      <w:pPr>
        <w:pStyle w:val="Default"/>
        <w:spacing w:after="240" w:line="260" w:lineRule="exact"/>
        <w:rPr>
          <w:rFonts w:ascii="Arial" w:hAnsi="Arial" w:cs="Arial"/>
        </w:rPr>
      </w:pPr>
      <w:r w:rsidRPr="00B510E5">
        <w:rPr>
          <w:rFonts w:ascii="Arial" w:hAnsi="Arial" w:cs="Arial"/>
        </w:rPr>
        <w:t xml:space="preserve">An SRO may prohibit the person from doing anything described in it, including travel overseas, or place positive obligations upon them. Any prohibition and/or obligation must be necessary to protect the public in the UK from sexual harm or, in relation to foreign travel, protecting children or vulnerable adults from sexual harm. </w:t>
      </w:r>
    </w:p>
    <w:p w14:paraId="66A0DFAD" w14:textId="77777777" w:rsidR="003A5ED2" w:rsidRPr="00B510E5" w:rsidRDefault="003A5ED2" w:rsidP="003A5ED2">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44B1D5AD" w14:textId="77777777" w:rsidR="003A5ED2" w:rsidRPr="00B510E5" w:rsidRDefault="003A5ED2" w:rsidP="003A5ED2">
      <w:pPr>
        <w:pStyle w:val="Default"/>
        <w:spacing w:after="240" w:line="260" w:lineRule="exact"/>
        <w:rPr>
          <w:rFonts w:ascii="Arial" w:hAnsi="Arial" w:cs="Arial"/>
        </w:rPr>
      </w:pPr>
      <w:r w:rsidRPr="00B510E5">
        <w:rPr>
          <w:rFonts w:ascii="Arial" w:hAnsi="Arial" w:cs="Arial"/>
        </w:rPr>
        <w:t xml:space="preserve">An SRO can last for a minimum of two years and has no maximum duration, with the exception of any foreign travel restrictions which, if applicable, last for a maximum of five years (but may be renewed). </w:t>
      </w:r>
    </w:p>
    <w:p w14:paraId="755F21EA" w14:textId="4F92F05F" w:rsidR="003A5ED2" w:rsidRPr="00B510E5" w:rsidRDefault="003A5ED2" w:rsidP="003A5ED2">
      <w:pPr>
        <w:pStyle w:val="Default"/>
        <w:spacing w:after="240" w:line="260" w:lineRule="exact"/>
        <w:rPr>
          <w:rFonts w:ascii="Arial" w:hAnsi="Arial" w:cs="Arial"/>
        </w:rPr>
      </w:pPr>
      <w:r w:rsidRPr="00B510E5">
        <w:rPr>
          <w:rFonts w:ascii="Arial" w:hAnsi="Arial" w:cs="Arial"/>
        </w:rPr>
        <w:t xml:space="preserve">The criminal standard of proof continues to apply. The person concerned is able to appeal against the making of the order and the police or the person concerned are able to apply for the order to be varied, </w:t>
      </w:r>
      <w:r w:rsidR="00C10AB7" w:rsidRPr="00B510E5">
        <w:rPr>
          <w:rFonts w:ascii="Arial" w:hAnsi="Arial" w:cs="Arial"/>
        </w:rPr>
        <w:t>renewed,</w:t>
      </w:r>
      <w:r w:rsidRPr="00B510E5">
        <w:rPr>
          <w:rFonts w:ascii="Arial" w:hAnsi="Arial" w:cs="Arial"/>
        </w:rPr>
        <w:t xml:space="preserve"> or discharged.</w:t>
      </w:r>
    </w:p>
    <w:p w14:paraId="5DA50691" w14:textId="77777777" w:rsidR="003A5ED2" w:rsidRPr="00B510E5" w:rsidRDefault="003A5ED2" w:rsidP="003A5ED2">
      <w:pPr>
        <w:pStyle w:val="Default"/>
        <w:spacing w:after="240" w:line="260" w:lineRule="exact"/>
        <w:rPr>
          <w:rFonts w:ascii="Arial" w:hAnsi="Arial" w:cs="Arial"/>
        </w:rPr>
      </w:pPr>
      <w:r w:rsidRPr="00B510E5">
        <w:rPr>
          <w:rFonts w:ascii="Arial" w:hAnsi="Arial" w:cs="Arial"/>
        </w:rPr>
        <w:t xml:space="preserve">A breach of an SRO is a criminal offence punishable by a maximum of five years’ imprisonment. Where an individual breaches their SRO, they will become subject to full notification requirements.  </w:t>
      </w:r>
    </w:p>
    <w:p w14:paraId="1EF9CC8F" w14:textId="6CD91667" w:rsidR="003A5ED2" w:rsidRDefault="003A5ED2" w:rsidP="003A5ED2">
      <w:pPr>
        <w:spacing w:after="240" w:line="260" w:lineRule="exact"/>
        <w:rPr>
          <w:rFonts w:ascii="Arial" w:hAnsi="Arial" w:cs="Arial"/>
        </w:rPr>
      </w:pPr>
      <w:r w:rsidRPr="00B510E5">
        <w:rPr>
          <w:rFonts w:ascii="Arial" w:hAnsi="Arial" w:cs="Arial"/>
        </w:rPr>
        <w:t>Individuals made subject of an SRO are recorded on VISOR as a Potentially Dangerous Person (PDP).</w:t>
      </w:r>
    </w:p>
    <w:p w14:paraId="0C6C55EE" w14:textId="4B9C9EFD" w:rsidR="003A5ED2" w:rsidRPr="00DD3E69" w:rsidRDefault="00DD3E69" w:rsidP="00DD3E69">
      <w:pPr>
        <w:spacing w:after="240" w:line="260" w:lineRule="exact"/>
        <w:rPr>
          <w:rFonts w:ascii="Arial" w:hAnsi="Arial" w:cs="Arial"/>
        </w:rPr>
      </w:pPr>
      <w:r w:rsidRPr="00DD3E69">
        <w:rPr>
          <w:rFonts w:ascii="Arial" w:hAnsi="Arial" w:cs="Arial"/>
          <w:b/>
          <w:bCs/>
          <w:color w:val="7030A0"/>
        </w:rPr>
        <w:t>(j) Lifetime notification requirements revoked on application</w:t>
      </w:r>
      <w:r w:rsidRPr="00DD3E69">
        <w:rPr>
          <w:rFonts w:ascii="Arial" w:hAnsi="Arial" w:cs="Arial"/>
          <w:b/>
          <w:bCs/>
          <w:color w:val="6600CC"/>
        </w:rPr>
        <w:t xml:space="preserve"> </w:t>
      </w:r>
      <w:r w:rsidRPr="00DD3E69">
        <w:rPr>
          <w:rFonts w:ascii="Arial" w:hAnsi="Arial" w:cs="Arial"/>
        </w:rPr>
        <w:t xml:space="preserve">– </w:t>
      </w:r>
      <w:r w:rsidRPr="00DD3E69">
        <w:rPr>
          <w:rFonts w:ascii="Arial" w:hAnsi="Arial" w:cs="Arial"/>
          <w:bCs/>
        </w:rPr>
        <w:t>A legal challenge in 2010 and a corresponding legislative response means there is a mechanism in place that allows qualifying individuals to apply for a review of their notification requirements. Qualifying individuals may submit an application to the police to review their indefinite notification requirements. The police review the application and decide whether to revoke the notification requirements. This decision is made at the rank of Superintendent. Those who continue to pose a significant risk will remain subject to notification requirements for life, if necessary.</w:t>
      </w:r>
    </w:p>
    <w:p w14:paraId="33294994" w14:textId="77777777" w:rsidR="003A5ED2" w:rsidRPr="00B510E5" w:rsidRDefault="003A5ED2" w:rsidP="003A5ED2">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0CE72152" w:rsidR="003A5ED2" w:rsidRPr="00B01E0C" w:rsidRDefault="003A5ED2" w:rsidP="00332EE6">
      <w:pPr>
        <w:pStyle w:val="MAPPA-Bodytext"/>
        <w:rPr>
          <w:szCs w:val="28"/>
          <w:lang w:val="en-GB"/>
        </w:rPr>
        <w:sectPr w:rsidR="003A5ED2" w:rsidRPr="00B01E0C" w:rsidSect="00867C9E">
          <w:type w:val="continuous"/>
          <w:pgSz w:w="11905" w:h="16837" w:code="9"/>
          <w:pgMar w:top="720" w:right="720" w:bottom="720" w:left="720" w:header="720" w:footer="567" w:gutter="0"/>
          <w:cols w:num="2" w:space="720"/>
          <w:noEndnote/>
        </w:sectPr>
      </w:pPr>
    </w:p>
    <w:p w14:paraId="704B3FCD" w14:textId="77777777" w:rsidR="00332EE6" w:rsidRPr="00061195" w:rsidRDefault="00332EE6" w:rsidP="00296A85">
      <w:pPr>
        <w:pStyle w:val="Heading1"/>
        <w:jc w:val="left"/>
        <w:rPr>
          <w:sz w:val="72"/>
          <w:szCs w:val="72"/>
        </w:rPr>
      </w:pPr>
      <w:r w:rsidRPr="00061195">
        <w:rPr>
          <w:sz w:val="72"/>
          <w:szCs w:val="72"/>
        </w:rPr>
        <w:lastRenderedPageBreak/>
        <w:t>Local page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8"/>
          <w:pgSz w:w="11905" w:h="16837" w:code="9"/>
          <w:pgMar w:top="720" w:right="720" w:bottom="720" w:left="720" w:header="720" w:footer="567" w:gutter="0"/>
          <w:cols w:space="720"/>
          <w:noEndnote/>
        </w:sectPr>
      </w:pPr>
    </w:p>
    <w:p w14:paraId="0A30EB00" w14:textId="77777777" w:rsidR="00332EE6" w:rsidRPr="00770EDE" w:rsidRDefault="00332EE6" w:rsidP="00332EE6">
      <w:pPr>
        <w:pStyle w:val="MAPPA-HeadingPara"/>
        <w:rPr>
          <w:rFonts w:cs="Arial"/>
          <w:sz w:val="22"/>
          <w:szCs w:val="22"/>
          <w:lang w:val="en-GB"/>
        </w:rPr>
        <w:sectPr w:rsidR="00332EE6" w:rsidRPr="00770EDE" w:rsidSect="00867C9E">
          <w:type w:val="continuous"/>
          <w:pgSz w:w="11905" w:h="16837" w:code="9"/>
          <w:pgMar w:top="720" w:right="720" w:bottom="720" w:left="720" w:header="720" w:footer="567" w:gutter="0"/>
          <w:cols w:space="720"/>
          <w:noEndnote/>
        </w:sectPr>
      </w:pPr>
    </w:p>
    <w:p w14:paraId="03F8F3E2" w14:textId="77777777" w:rsidR="00DD3E69" w:rsidRPr="009545AD" w:rsidRDefault="00EA402A" w:rsidP="00770EDE">
      <w:pPr>
        <w:pStyle w:val="xmsonormal"/>
        <w:rPr>
          <w:rFonts w:ascii="Arial" w:hAnsi="Arial" w:cs="Arial"/>
          <w:b/>
          <w:bCs/>
          <w:color w:val="7030A0"/>
          <w:sz w:val="24"/>
          <w:szCs w:val="24"/>
          <w:u w:val="single"/>
        </w:rPr>
      </w:pPr>
      <w:r w:rsidRPr="009545AD">
        <w:rPr>
          <w:rFonts w:ascii="Arial" w:hAnsi="Arial" w:cs="Arial"/>
          <w:b/>
          <w:bCs/>
          <w:color w:val="7030A0"/>
          <w:sz w:val="24"/>
          <w:szCs w:val="24"/>
          <w:u w:val="single"/>
        </w:rPr>
        <w:t>Joint statement</w:t>
      </w:r>
      <w:r w:rsidR="008F775D" w:rsidRPr="009545AD">
        <w:rPr>
          <w:rFonts w:ascii="Arial" w:hAnsi="Arial" w:cs="Arial"/>
          <w:b/>
          <w:bCs/>
          <w:color w:val="7030A0"/>
          <w:sz w:val="24"/>
          <w:szCs w:val="24"/>
          <w:u w:val="single"/>
        </w:rPr>
        <w:t xml:space="preserve"> by Dyfed Powys MAPPA Strategic Management Board (SMB): </w:t>
      </w:r>
    </w:p>
    <w:p w14:paraId="1FA90D21" w14:textId="77777777" w:rsidR="009545AD" w:rsidRDefault="009545AD" w:rsidP="00770EDE">
      <w:pPr>
        <w:pStyle w:val="xmsonormal"/>
        <w:rPr>
          <w:rFonts w:ascii="Arial" w:hAnsi="Arial" w:cs="Arial"/>
          <w:b/>
          <w:bCs/>
          <w:color w:val="7030A0"/>
          <w:sz w:val="24"/>
          <w:szCs w:val="24"/>
          <w:u w:val="single"/>
        </w:rPr>
      </w:pPr>
    </w:p>
    <w:p w14:paraId="0227A2A0" w14:textId="6FEAD98E" w:rsidR="00EA402A" w:rsidRPr="009545AD" w:rsidRDefault="008F775D" w:rsidP="00770EDE">
      <w:pPr>
        <w:pStyle w:val="xmsonormal"/>
        <w:rPr>
          <w:rFonts w:ascii="Arial" w:hAnsi="Arial" w:cs="Arial"/>
          <w:b/>
          <w:bCs/>
          <w:color w:val="7030A0"/>
          <w:sz w:val="24"/>
          <w:szCs w:val="24"/>
          <w:u w:val="single"/>
        </w:rPr>
      </w:pPr>
      <w:r w:rsidRPr="009545AD">
        <w:rPr>
          <w:rFonts w:ascii="Arial" w:hAnsi="Arial" w:cs="Arial"/>
          <w:b/>
          <w:bCs/>
          <w:color w:val="7030A0"/>
          <w:sz w:val="24"/>
          <w:szCs w:val="24"/>
          <w:u w:val="single"/>
        </w:rPr>
        <w:t>HMPPS and Police Leads</w:t>
      </w:r>
      <w:r w:rsidR="00EA402A" w:rsidRPr="009545AD">
        <w:rPr>
          <w:rFonts w:ascii="Arial" w:hAnsi="Arial" w:cs="Arial"/>
          <w:b/>
          <w:bCs/>
          <w:color w:val="7030A0"/>
          <w:sz w:val="24"/>
          <w:szCs w:val="24"/>
          <w:u w:val="single"/>
        </w:rPr>
        <w:t>:</w:t>
      </w:r>
    </w:p>
    <w:p w14:paraId="0B4A4F4E" w14:textId="77777777" w:rsidR="008F775D" w:rsidRPr="009545AD" w:rsidRDefault="008F775D" w:rsidP="00770EDE">
      <w:pPr>
        <w:pStyle w:val="xmsonormal"/>
        <w:rPr>
          <w:rFonts w:ascii="Arial" w:hAnsi="Arial" w:cs="Arial"/>
          <w:b/>
          <w:bCs/>
          <w:color w:val="7030A0"/>
          <w:sz w:val="24"/>
          <w:szCs w:val="24"/>
          <w:u w:val="single"/>
        </w:rPr>
      </w:pPr>
    </w:p>
    <w:p w14:paraId="309E654A" w14:textId="0B9C4829" w:rsidR="00770EDE" w:rsidRPr="009545AD" w:rsidRDefault="00770EDE" w:rsidP="00770EDE">
      <w:pPr>
        <w:pStyle w:val="xmsonormal"/>
        <w:rPr>
          <w:rFonts w:ascii="Arial" w:hAnsi="Arial" w:cs="Arial"/>
          <w:b/>
          <w:bCs/>
          <w:color w:val="7030A0"/>
          <w:sz w:val="24"/>
          <w:szCs w:val="24"/>
        </w:rPr>
      </w:pPr>
      <w:r w:rsidRPr="009545AD">
        <w:rPr>
          <w:rFonts w:ascii="Arial" w:hAnsi="Arial" w:cs="Arial"/>
          <w:b/>
          <w:bCs/>
          <w:color w:val="7030A0"/>
          <w:sz w:val="24"/>
          <w:szCs w:val="24"/>
        </w:rPr>
        <w:t>A</w:t>
      </w:r>
      <w:r w:rsidR="00EA402A" w:rsidRPr="009545AD">
        <w:rPr>
          <w:rFonts w:ascii="Arial" w:hAnsi="Arial" w:cs="Arial"/>
          <w:b/>
          <w:bCs/>
          <w:color w:val="7030A0"/>
          <w:sz w:val="24"/>
          <w:szCs w:val="24"/>
        </w:rPr>
        <w:t xml:space="preserve">ssistant Chief </w:t>
      </w:r>
      <w:r w:rsidRPr="009545AD">
        <w:rPr>
          <w:rFonts w:ascii="Arial" w:hAnsi="Arial" w:cs="Arial"/>
          <w:b/>
          <w:bCs/>
          <w:color w:val="7030A0"/>
          <w:sz w:val="24"/>
          <w:szCs w:val="24"/>
        </w:rPr>
        <w:t>C</w:t>
      </w:r>
      <w:r w:rsidR="00EA402A" w:rsidRPr="009545AD">
        <w:rPr>
          <w:rFonts w:ascii="Arial" w:hAnsi="Arial" w:cs="Arial"/>
          <w:b/>
          <w:bCs/>
          <w:color w:val="7030A0"/>
          <w:sz w:val="24"/>
          <w:szCs w:val="24"/>
        </w:rPr>
        <w:t>onstable,</w:t>
      </w:r>
      <w:r w:rsidRPr="009545AD">
        <w:rPr>
          <w:rFonts w:ascii="Arial" w:hAnsi="Arial" w:cs="Arial"/>
          <w:b/>
          <w:bCs/>
          <w:color w:val="7030A0"/>
          <w:sz w:val="24"/>
          <w:szCs w:val="24"/>
        </w:rPr>
        <w:t xml:space="preserve"> </w:t>
      </w:r>
      <w:r w:rsidR="00494FE2" w:rsidRPr="009545AD">
        <w:rPr>
          <w:rFonts w:ascii="Arial" w:hAnsi="Arial" w:cs="Arial"/>
          <w:b/>
          <w:bCs/>
          <w:color w:val="7030A0"/>
          <w:sz w:val="24"/>
          <w:szCs w:val="24"/>
        </w:rPr>
        <w:t>Ifan Charles</w:t>
      </w:r>
      <w:r w:rsidRPr="009545AD">
        <w:rPr>
          <w:rFonts w:ascii="Arial" w:hAnsi="Arial" w:cs="Arial"/>
          <w:b/>
          <w:bCs/>
          <w:color w:val="7030A0"/>
          <w:sz w:val="24"/>
          <w:szCs w:val="24"/>
        </w:rPr>
        <w:t>, Dyfed Powys Police</w:t>
      </w:r>
    </w:p>
    <w:p w14:paraId="7891D399" w14:textId="77777777" w:rsidR="00770EDE" w:rsidRPr="009545AD" w:rsidRDefault="00770EDE" w:rsidP="00770EDE">
      <w:pPr>
        <w:pStyle w:val="xmsonormal"/>
        <w:rPr>
          <w:rFonts w:ascii="Arial" w:hAnsi="Arial" w:cs="Arial"/>
          <w:color w:val="7030A0"/>
          <w:sz w:val="24"/>
          <w:szCs w:val="24"/>
        </w:rPr>
      </w:pPr>
      <w:r w:rsidRPr="009545AD">
        <w:rPr>
          <w:rFonts w:ascii="Arial" w:hAnsi="Arial" w:cs="Arial"/>
          <w:b/>
          <w:bCs/>
          <w:color w:val="7030A0"/>
          <w:sz w:val="24"/>
          <w:szCs w:val="24"/>
        </w:rPr>
        <w:t>Christine Harley, Head of Dyfed-Powys Probation Delivery Unit</w:t>
      </w:r>
      <w:r w:rsidRPr="009545AD">
        <w:rPr>
          <w:rFonts w:ascii="Arial" w:hAnsi="Arial" w:cs="Arial"/>
          <w:color w:val="7030A0"/>
          <w:sz w:val="24"/>
          <w:szCs w:val="24"/>
        </w:rPr>
        <w:t xml:space="preserve"> </w:t>
      </w:r>
    </w:p>
    <w:p w14:paraId="4E24E5D4" w14:textId="295F553E" w:rsidR="00770EDE" w:rsidRPr="009545AD" w:rsidRDefault="00DD3E69" w:rsidP="00770EDE">
      <w:pPr>
        <w:pStyle w:val="xmsonormal"/>
        <w:rPr>
          <w:rFonts w:ascii="Arial" w:hAnsi="Arial" w:cs="Arial"/>
          <w:color w:val="7030A0"/>
          <w:sz w:val="24"/>
          <w:szCs w:val="24"/>
        </w:rPr>
      </w:pPr>
      <w:r w:rsidRPr="009545AD">
        <w:rPr>
          <w:rFonts w:ascii="Arial" w:hAnsi="Arial" w:cs="Arial"/>
          <w:b/>
          <w:bCs/>
          <w:color w:val="7030A0"/>
          <w:sz w:val="24"/>
          <w:szCs w:val="24"/>
        </w:rPr>
        <w:t>Chris Simpson</w:t>
      </w:r>
      <w:r w:rsidR="00770EDE" w:rsidRPr="009545AD">
        <w:rPr>
          <w:rFonts w:ascii="Arial" w:hAnsi="Arial" w:cs="Arial"/>
          <w:b/>
          <w:bCs/>
          <w:color w:val="7030A0"/>
          <w:sz w:val="24"/>
          <w:szCs w:val="24"/>
        </w:rPr>
        <w:t>, Governor, HMP Swansea</w:t>
      </w:r>
    </w:p>
    <w:p w14:paraId="74781545" w14:textId="77777777" w:rsidR="00770EDE" w:rsidRPr="009545AD" w:rsidRDefault="00770EDE" w:rsidP="00770EDE">
      <w:pPr>
        <w:pStyle w:val="xmsonormal"/>
        <w:rPr>
          <w:rFonts w:ascii="Arial" w:hAnsi="Arial" w:cs="Arial"/>
          <w:sz w:val="24"/>
          <w:szCs w:val="24"/>
        </w:rPr>
      </w:pPr>
    </w:p>
    <w:p w14:paraId="7E80A628" w14:textId="6AC5799F" w:rsidR="00834E17" w:rsidRPr="009545AD" w:rsidRDefault="00DD3E69" w:rsidP="00770EDE">
      <w:pPr>
        <w:pStyle w:val="xmsonormal"/>
        <w:jc w:val="both"/>
        <w:rPr>
          <w:rFonts w:ascii="Arial" w:hAnsi="Arial" w:cs="Arial"/>
          <w:sz w:val="24"/>
          <w:szCs w:val="24"/>
        </w:rPr>
      </w:pPr>
      <w:r w:rsidRPr="009545AD">
        <w:rPr>
          <w:rFonts w:ascii="Arial" w:hAnsi="Arial" w:cs="Arial"/>
          <w:sz w:val="24"/>
          <w:szCs w:val="24"/>
        </w:rPr>
        <w:t xml:space="preserve">Throughout the past year, we have seen increasing referrals for management under </w:t>
      </w:r>
      <w:r w:rsidR="00342221" w:rsidRPr="009545AD">
        <w:rPr>
          <w:rFonts w:ascii="Arial" w:hAnsi="Arial" w:cs="Arial"/>
          <w:sz w:val="24"/>
          <w:szCs w:val="24"/>
        </w:rPr>
        <w:t xml:space="preserve">MAPPA </w:t>
      </w:r>
      <w:r w:rsidRPr="009545AD">
        <w:rPr>
          <w:rFonts w:ascii="Arial" w:hAnsi="Arial" w:cs="Arial"/>
          <w:sz w:val="24"/>
          <w:szCs w:val="24"/>
        </w:rPr>
        <w:t>and increasing demand for Level 2 management</w:t>
      </w:r>
      <w:r w:rsidR="00834E17" w:rsidRPr="009545AD">
        <w:rPr>
          <w:rFonts w:ascii="Arial" w:hAnsi="Arial" w:cs="Arial"/>
          <w:sz w:val="24"/>
          <w:szCs w:val="24"/>
        </w:rPr>
        <w:t xml:space="preserve">. Although this has been challenging, it is </w:t>
      </w:r>
      <w:r w:rsidR="00342221" w:rsidRPr="009545AD">
        <w:rPr>
          <w:rFonts w:ascii="Arial" w:hAnsi="Arial" w:cs="Arial"/>
          <w:sz w:val="24"/>
          <w:szCs w:val="24"/>
        </w:rPr>
        <w:t>positive that</w:t>
      </w:r>
      <w:r w:rsidR="00834E17" w:rsidRPr="009545AD">
        <w:rPr>
          <w:rFonts w:ascii="Arial" w:hAnsi="Arial" w:cs="Arial"/>
          <w:sz w:val="24"/>
          <w:szCs w:val="24"/>
        </w:rPr>
        <w:t xml:space="preserve"> those </w:t>
      </w:r>
      <w:r w:rsidR="00342221" w:rsidRPr="009545AD">
        <w:rPr>
          <w:rFonts w:ascii="Arial" w:hAnsi="Arial" w:cs="Arial"/>
          <w:sz w:val="24"/>
          <w:szCs w:val="24"/>
        </w:rPr>
        <w:t xml:space="preserve">individuals </w:t>
      </w:r>
      <w:r w:rsidR="00834E17" w:rsidRPr="009545AD">
        <w:rPr>
          <w:rFonts w:ascii="Arial" w:hAnsi="Arial" w:cs="Arial"/>
          <w:sz w:val="24"/>
          <w:szCs w:val="24"/>
        </w:rPr>
        <w:t>requiring management under MAPPA are being identified</w:t>
      </w:r>
      <w:r w:rsidR="00342221" w:rsidRPr="009545AD">
        <w:rPr>
          <w:rFonts w:ascii="Arial" w:hAnsi="Arial" w:cs="Arial"/>
          <w:sz w:val="24"/>
          <w:szCs w:val="24"/>
        </w:rPr>
        <w:t xml:space="preserve"> </w:t>
      </w:r>
      <w:r w:rsidR="00834E17" w:rsidRPr="009545AD">
        <w:rPr>
          <w:rFonts w:ascii="Arial" w:hAnsi="Arial" w:cs="Arial"/>
          <w:sz w:val="24"/>
          <w:szCs w:val="24"/>
        </w:rPr>
        <w:t xml:space="preserve">by criminal justice agencies, as well as youth offending teams and mental health services. </w:t>
      </w:r>
    </w:p>
    <w:p w14:paraId="34D7A6CC" w14:textId="5026B873" w:rsidR="009A5B41" w:rsidRPr="009545AD" w:rsidRDefault="009A5B41" w:rsidP="00770EDE">
      <w:pPr>
        <w:pStyle w:val="xmsonormal"/>
        <w:jc w:val="both"/>
        <w:rPr>
          <w:rFonts w:ascii="Arial" w:hAnsi="Arial" w:cs="Arial"/>
          <w:sz w:val="24"/>
          <w:szCs w:val="24"/>
        </w:rPr>
      </w:pPr>
    </w:p>
    <w:p w14:paraId="787EF388" w14:textId="58EA1B4B" w:rsidR="009A5B41" w:rsidRPr="009545AD" w:rsidRDefault="009A5B41" w:rsidP="00770EDE">
      <w:pPr>
        <w:pStyle w:val="xmsonormal"/>
        <w:jc w:val="both"/>
        <w:rPr>
          <w:rFonts w:ascii="Arial" w:hAnsi="Arial" w:cs="Arial"/>
          <w:sz w:val="24"/>
          <w:szCs w:val="24"/>
        </w:rPr>
      </w:pPr>
      <w:r w:rsidRPr="009545AD">
        <w:rPr>
          <w:rFonts w:ascii="Arial" w:hAnsi="Arial" w:cs="Arial"/>
          <w:sz w:val="24"/>
          <w:szCs w:val="24"/>
        </w:rPr>
        <w:t xml:space="preserve">We were able to provide two multi-agency conferences, which have enabled agencies and practitioners to come together face to face and receive valued input from the National Security Division/Counter-Terrorism Police, National MAPPA Team, local MAPPA Coordinator, and also hearing from a survivor about their own experience which was so impactful. These events were valuable in strengthening relationships across areas within Dyfed Powys and agencies, and imparting awareness of national and local changes. </w:t>
      </w:r>
    </w:p>
    <w:p w14:paraId="67F23575" w14:textId="451501D9" w:rsidR="00834E17" w:rsidRPr="009545AD" w:rsidRDefault="00834E17" w:rsidP="00770EDE">
      <w:pPr>
        <w:pStyle w:val="xmsonormal"/>
        <w:jc w:val="both"/>
        <w:rPr>
          <w:rFonts w:ascii="Arial" w:hAnsi="Arial" w:cs="Arial"/>
          <w:sz w:val="24"/>
          <w:szCs w:val="24"/>
          <w:highlight w:val="lightGray"/>
        </w:rPr>
      </w:pPr>
    </w:p>
    <w:p w14:paraId="51F4B54D" w14:textId="35DD220A" w:rsidR="00667AA4" w:rsidRPr="009545AD" w:rsidRDefault="00667AA4" w:rsidP="00770EDE">
      <w:pPr>
        <w:pStyle w:val="xmsonormal"/>
        <w:jc w:val="both"/>
        <w:rPr>
          <w:rFonts w:ascii="Arial" w:hAnsi="Arial" w:cs="Arial"/>
          <w:sz w:val="24"/>
          <w:szCs w:val="24"/>
        </w:rPr>
      </w:pPr>
      <w:r w:rsidRPr="009545AD">
        <w:rPr>
          <w:rFonts w:ascii="Arial" w:hAnsi="Arial" w:cs="Arial"/>
          <w:sz w:val="24"/>
          <w:szCs w:val="24"/>
        </w:rPr>
        <w:t>Nationally the introduction of MAPPA Chairs and MAPPA Administrators learning resources, has supported local training delivery and self-directed learning for these colleagues.</w:t>
      </w:r>
    </w:p>
    <w:p w14:paraId="6797A20D" w14:textId="7910CED1" w:rsidR="00770EDE" w:rsidRPr="009545AD" w:rsidRDefault="00770EDE" w:rsidP="00770EDE">
      <w:pPr>
        <w:pStyle w:val="xmsonormal"/>
        <w:jc w:val="both"/>
        <w:rPr>
          <w:rFonts w:ascii="Arial" w:hAnsi="Arial" w:cs="Arial"/>
          <w:sz w:val="24"/>
          <w:szCs w:val="24"/>
          <w:highlight w:val="lightGray"/>
        </w:rPr>
      </w:pPr>
    </w:p>
    <w:p w14:paraId="51ED3B4A" w14:textId="29306AE7" w:rsidR="004E6F7E" w:rsidRPr="009545AD" w:rsidRDefault="00667AA4" w:rsidP="004E6F7E">
      <w:pPr>
        <w:pStyle w:val="xmsonormal"/>
        <w:jc w:val="both"/>
        <w:rPr>
          <w:rFonts w:ascii="Arial" w:hAnsi="Arial" w:cs="Arial"/>
          <w:sz w:val="24"/>
          <w:szCs w:val="24"/>
        </w:rPr>
      </w:pPr>
      <w:r w:rsidRPr="009545AD">
        <w:rPr>
          <w:rFonts w:ascii="Arial" w:hAnsi="Arial" w:cs="Arial"/>
          <w:sz w:val="24"/>
          <w:szCs w:val="24"/>
        </w:rPr>
        <w:t xml:space="preserve">The results of the National </w:t>
      </w:r>
      <w:r w:rsidR="00770EDE" w:rsidRPr="009545AD">
        <w:rPr>
          <w:rFonts w:ascii="Arial" w:hAnsi="Arial" w:cs="Arial"/>
          <w:sz w:val="24"/>
          <w:szCs w:val="24"/>
        </w:rPr>
        <w:t xml:space="preserve">MAPPA Research </w:t>
      </w:r>
      <w:r w:rsidR="003D50F9" w:rsidRPr="009545AD">
        <w:rPr>
          <w:rFonts w:ascii="Arial" w:hAnsi="Arial" w:cs="Arial"/>
          <w:sz w:val="24"/>
          <w:szCs w:val="24"/>
        </w:rPr>
        <w:t>Project [undertaken by the Policing Institute for the Eastern Region - Angela Ruskin University]</w:t>
      </w:r>
      <w:r w:rsidRPr="009545AD">
        <w:rPr>
          <w:rFonts w:ascii="Arial" w:hAnsi="Arial" w:cs="Arial"/>
          <w:sz w:val="24"/>
          <w:szCs w:val="24"/>
        </w:rPr>
        <w:t xml:space="preserve"> have been published, and consideration of the findings and impact upon local MAPPA practice, are ongoing within the Dyfed Powys MAPPA SMB</w:t>
      </w:r>
      <w:r w:rsidR="004E6F7E" w:rsidRPr="009545AD">
        <w:rPr>
          <w:rFonts w:ascii="Arial" w:hAnsi="Arial" w:cs="Arial"/>
          <w:sz w:val="24"/>
          <w:szCs w:val="24"/>
        </w:rPr>
        <w:t xml:space="preserve">. This is combined with continuing </w:t>
      </w:r>
      <w:r w:rsidR="009A5B41" w:rsidRPr="009545AD">
        <w:rPr>
          <w:rFonts w:ascii="Arial" w:hAnsi="Arial" w:cs="Arial"/>
          <w:sz w:val="24"/>
          <w:szCs w:val="24"/>
        </w:rPr>
        <w:t xml:space="preserve">focus by the SMB </w:t>
      </w:r>
      <w:r w:rsidR="004E6F7E" w:rsidRPr="009545AD">
        <w:rPr>
          <w:rFonts w:ascii="Arial" w:hAnsi="Arial" w:cs="Arial"/>
          <w:sz w:val="24"/>
          <w:szCs w:val="24"/>
        </w:rPr>
        <w:t xml:space="preserve">to implement </w:t>
      </w:r>
      <w:r w:rsidRPr="009545AD">
        <w:rPr>
          <w:rFonts w:ascii="Arial" w:hAnsi="Arial" w:cs="Arial"/>
          <w:sz w:val="24"/>
          <w:szCs w:val="24"/>
        </w:rPr>
        <w:t>the</w:t>
      </w:r>
      <w:r w:rsidR="004E6F7E" w:rsidRPr="009545AD">
        <w:rPr>
          <w:rFonts w:ascii="Arial" w:hAnsi="Arial" w:cs="Arial"/>
          <w:sz w:val="24"/>
          <w:szCs w:val="24"/>
        </w:rPr>
        <w:t xml:space="preserve"> recommendations </w:t>
      </w:r>
      <w:r w:rsidRPr="009545AD">
        <w:rPr>
          <w:rFonts w:ascii="Arial" w:hAnsi="Arial" w:cs="Arial"/>
          <w:sz w:val="24"/>
          <w:szCs w:val="24"/>
        </w:rPr>
        <w:t>developed from the</w:t>
      </w:r>
      <w:r w:rsidR="009A5B41" w:rsidRPr="009545AD">
        <w:rPr>
          <w:rFonts w:ascii="Arial" w:hAnsi="Arial" w:cs="Arial"/>
          <w:sz w:val="24"/>
          <w:szCs w:val="24"/>
        </w:rPr>
        <w:t xml:space="preserve"> ‘</w:t>
      </w:r>
      <w:r w:rsidR="004E6F7E" w:rsidRPr="009545AD">
        <w:rPr>
          <w:rFonts w:ascii="Arial" w:hAnsi="Arial" w:cs="Arial"/>
          <w:sz w:val="24"/>
          <w:szCs w:val="24"/>
        </w:rPr>
        <w:t xml:space="preserve">A Joint Thematic Inspection of MAPPA’ </w:t>
      </w:r>
      <w:r w:rsidR="004E6F7E" w:rsidRPr="009545AD">
        <w:rPr>
          <w:rFonts w:ascii="Arial" w:hAnsi="Arial" w:cs="Arial"/>
          <w:i/>
          <w:iCs/>
          <w:sz w:val="24"/>
          <w:szCs w:val="24"/>
        </w:rPr>
        <w:t>[20 years on, is MAPPA achieving its objectives?]</w:t>
      </w:r>
      <w:r w:rsidR="004E6F7E" w:rsidRPr="009545AD">
        <w:rPr>
          <w:rFonts w:ascii="Arial" w:hAnsi="Arial" w:cs="Arial"/>
          <w:sz w:val="24"/>
          <w:szCs w:val="24"/>
        </w:rPr>
        <w:t xml:space="preserve"> (Published on 14</w:t>
      </w:r>
      <w:r w:rsidR="004E6F7E" w:rsidRPr="009545AD">
        <w:rPr>
          <w:rFonts w:ascii="Arial" w:hAnsi="Arial" w:cs="Arial"/>
          <w:sz w:val="24"/>
          <w:szCs w:val="24"/>
          <w:vertAlign w:val="superscript"/>
        </w:rPr>
        <w:t>th</w:t>
      </w:r>
      <w:r w:rsidR="004E6F7E" w:rsidRPr="009545AD">
        <w:rPr>
          <w:rFonts w:ascii="Arial" w:hAnsi="Arial" w:cs="Arial"/>
          <w:sz w:val="24"/>
          <w:szCs w:val="24"/>
        </w:rPr>
        <w:t xml:space="preserve"> July 2022) and the</w:t>
      </w:r>
      <w:r w:rsidR="009A5B41" w:rsidRPr="009545AD">
        <w:rPr>
          <w:rFonts w:ascii="Arial" w:hAnsi="Arial" w:cs="Arial"/>
          <w:sz w:val="24"/>
          <w:szCs w:val="24"/>
        </w:rPr>
        <w:t xml:space="preserve"> subsequent National</w:t>
      </w:r>
      <w:r w:rsidR="004E6F7E" w:rsidRPr="009545AD">
        <w:rPr>
          <w:rFonts w:ascii="Arial" w:hAnsi="Arial" w:cs="Arial"/>
          <w:sz w:val="24"/>
          <w:szCs w:val="24"/>
        </w:rPr>
        <w:t xml:space="preserve"> Action Plan</w:t>
      </w:r>
      <w:r w:rsidR="009A5B41" w:rsidRPr="009545AD">
        <w:rPr>
          <w:rFonts w:ascii="Arial" w:hAnsi="Arial" w:cs="Arial"/>
          <w:sz w:val="24"/>
          <w:szCs w:val="24"/>
        </w:rPr>
        <w:t xml:space="preserve">. </w:t>
      </w:r>
    </w:p>
    <w:p w14:paraId="79CA13A7" w14:textId="77777777" w:rsidR="00667AA4" w:rsidRPr="009545AD" w:rsidRDefault="00667AA4" w:rsidP="00770EDE">
      <w:pPr>
        <w:pStyle w:val="xmsonormal"/>
        <w:jc w:val="both"/>
        <w:rPr>
          <w:rFonts w:ascii="Arial" w:hAnsi="Arial" w:cs="Arial"/>
          <w:sz w:val="24"/>
          <w:szCs w:val="24"/>
          <w:highlight w:val="lightGray"/>
        </w:rPr>
      </w:pPr>
    </w:p>
    <w:p w14:paraId="7C14FCB8" w14:textId="756E558C" w:rsidR="00667AA4" w:rsidRPr="009545AD" w:rsidRDefault="00667AA4" w:rsidP="00667AA4">
      <w:pPr>
        <w:pStyle w:val="xmsonormal"/>
        <w:jc w:val="both"/>
        <w:rPr>
          <w:rFonts w:ascii="Arial" w:hAnsi="Arial" w:cs="Arial"/>
          <w:sz w:val="24"/>
          <w:szCs w:val="24"/>
        </w:rPr>
      </w:pPr>
      <w:r w:rsidRPr="009545AD">
        <w:rPr>
          <w:rFonts w:ascii="Arial" w:hAnsi="Arial" w:cs="Arial"/>
          <w:sz w:val="24"/>
          <w:szCs w:val="24"/>
        </w:rPr>
        <w:t xml:space="preserve">Some of the key developments which have taken place </w:t>
      </w:r>
      <w:r w:rsidR="009A5B41" w:rsidRPr="009545AD">
        <w:rPr>
          <w:rFonts w:ascii="Arial" w:hAnsi="Arial" w:cs="Arial"/>
          <w:sz w:val="24"/>
          <w:szCs w:val="24"/>
        </w:rPr>
        <w:t>locally o</w:t>
      </w:r>
      <w:r w:rsidRPr="009545AD">
        <w:rPr>
          <w:rFonts w:ascii="Arial" w:hAnsi="Arial" w:cs="Arial"/>
          <w:sz w:val="24"/>
          <w:szCs w:val="24"/>
        </w:rPr>
        <w:t>ver the past year:</w:t>
      </w:r>
    </w:p>
    <w:p w14:paraId="6AA2DDDE" w14:textId="2128A966" w:rsidR="00667AA4" w:rsidRPr="009545AD" w:rsidRDefault="00667AA4" w:rsidP="009A5B41">
      <w:pPr>
        <w:pStyle w:val="xmsonormal"/>
        <w:numPr>
          <w:ilvl w:val="0"/>
          <w:numId w:val="6"/>
        </w:numPr>
        <w:jc w:val="both"/>
        <w:rPr>
          <w:rFonts w:ascii="Arial" w:hAnsi="Arial" w:cs="Arial"/>
          <w:sz w:val="24"/>
          <w:szCs w:val="24"/>
        </w:rPr>
      </w:pPr>
      <w:r w:rsidRPr="009545AD">
        <w:rPr>
          <w:rFonts w:ascii="Arial" w:hAnsi="Arial" w:cs="Arial"/>
          <w:sz w:val="24"/>
          <w:szCs w:val="24"/>
        </w:rPr>
        <w:t>Introduction locally of the new National MAPPA Document Set, which has a greater emphasis upon equality and diversity, w</w:t>
      </w:r>
      <w:r w:rsidR="009A5B41" w:rsidRPr="009545AD">
        <w:rPr>
          <w:rFonts w:ascii="Arial" w:hAnsi="Arial" w:cs="Arial"/>
          <w:sz w:val="24"/>
          <w:szCs w:val="24"/>
        </w:rPr>
        <w:t>hich</w:t>
      </w:r>
      <w:r w:rsidRPr="009545AD">
        <w:rPr>
          <w:rFonts w:ascii="Arial" w:hAnsi="Arial" w:cs="Arial"/>
          <w:sz w:val="24"/>
          <w:szCs w:val="24"/>
        </w:rPr>
        <w:t xml:space="preserve"> Chairs and Administrators continue to adapt and embed this documentation.</w:t>
      </w:r>
    </w:p>
    <w:p w14:paraId="2FF76DF8" w14:textId="3A6654BB" w:rsidR="009A5B41" w:rsidRPr="009545AD" w:rsidRDefault="00EA10C3" w:rsidP="009A5B41">
      <w:pPr>
        <w:pStyle w:val="xmsonormal"/>
        <w:numPr>
          <w:ilvl w:val="0"/>
          <w:numId w:val="6"/>
        </w:numPr>
        <w:jc w:val="both"/>
        <w:rPr>
          <w:rFonts w:ascii="Arial" w:hAnsi="Arial" w:cs="Arial"/>
          <w:sz w:val="24"/>
          <w:szCs w:val="24"/>
        </w:rPr>
      </w:pPr>
      <w:r w:rsidRPr="009545AD">
        <w:rPr>
          <w:rFonts w:ascii="Arial" w:hAnsi="Arial" w:cs="Arial"/>
          <w:sz w:val="24"/>
          <w:szCs w:val="24"/>
        </w:rPr>
        <w:t xml:space="preserve">Developments </w:t>
      </w:r>
      <w:r w:rsidR="0065047B" w:rsidRPr="009545AD">
        <w:rPr>
          <w:rFonts w:ascii="Arial" w:hAnsi="Arial" w:cs="Arial"/>
          <w:sz w:val="24"/>
          <w:szCs w:val="24"/>
        </w:rPr>
        <w:t xml:space="preserve">of awareness and processes </w:t>
      </w:r>
      <w:r w:rsidRPr="009545AD">
        <w:rPr>
          <w:rFonts w:ascii="Arial" w:hAnsi="Arial" w:cs="Arial"/>
          <w:sz w:val="24"/>
          <w:szCs w:val="24"/>
        </w:rPr>
        <w:t xml:space="preserve">within the prison to ensure </w:t>
      </w:r>
      <w:r w:rsidR="0065047B" w:rsidRPr="009545AD">
        <w:rPr>
          <w:rFonts w:ascii="Arial" w:hAnsi="Arial" w:cs="Arial"/>
          <w:sz w:val="24"/>
          <w:szCs w:val="24"/>
        </w:rPr>
        <w:t xml:space="preserve">both </w:t>
      </w:r>
      <w:r w:rsidRPr="009545AD">
        <w:rPr>
          <w:rFonts w:ascii="Arial" w:hAnsi="Arial" w:cs="Arial"/>
          <w:sz w:val="24"/>
          <w:szCs w:val="24"/>
        </w:rPr>
        <w:t xml:space="preserve">prison attendance and provision of reports for all MAPPA L2/3s in line with updated </w:t>
      </w:r>
      <w:r w:rsidR="0065047B" w:rsidRPr="009545AD">
        <w:rPr>
          <w:rFonts w:ascii="Arial" w:hAnsi="Arial" w:cs="Arial"/>
          <w:sz w:val="24"/>
          <w:szCs w:val="24"/>
        </w:rPr>
        <w:t>N</w:t>
      </w:r>
      <w:r w:rsidRPr="009545AD">
        <w:rPr>
          <w:rFonts w:ascii="Arial" w:hAnsi="Arial" w:cs="Arial"/>
          <w:sz w:val="24"/>
          <w:szCs w:val="24"/>
        </w:rPr>
        <w:t xml:space="preserve">ational </w:t>
      </w:r>
      <w:r w:rsidR="0065047B" w:rsidRPr="009545AD">
        <w:rPr>
          <w:rFonts w:ascii="Arial" w:hAnsi="Arial" w:cs="Arial"/>
          <w:sz w:val="24"/>
          <w:szCs w:val="24"/>
        </w:rPr>
        <w:t>MAPPA Guidance.</w:t>
      </w:r>
    </w:p>
    <w:p w14:paraId="02CD656D" w14:textId="2F452E40" w:rsidR="0065047B" w:rsidRPr="009545AD" w:rsidRDefault="0065047B" w:rsidP="009A5B41">
      <w:pPr>
        <w:pStyle w:val="xmsonormal"/>
        <w:numPr>
          <w:ilvl w:val="0"/>
          <w:numId w:val="6"/>
        </w:numPr>
        <w:jc w:val="both"/>
        <w:rPr>
          <w:rFonts w:ascii="Arial" w:hAnsi="Arial" w:cs="Arial"/>
          <w:sz w:val="24"/>
          <w:szCs w:val="24"/>
        </w:rPr>
      </w:pPr>
      <w:r w:rsidRPr="009545AD">
        <w:rPr>
          <w:rFonts w:ascii="Arial" w:hAnsi="Arial" w:cs="Arial"/>
          <w:sz w:val="24"/>
          <w:szCs w:val="24"/>
        </w:rPr>
        <w:t xml:space="preserve">A focus on strengthening the communication between Prison and Probation for MAPPA Level 1 </w:t>
      </w:r>
      <w:r w:rsidR="00C10AB7" w:rsidRPr="009545AD">
        <w:rPr>
          <w:rFonts w:ascii="Arial" w:hAnsi="Arial" w:cs="Arial"/>
          <w:sz w:val="24"/>
          <w:szCs w:val="24"/>
        </w:rPr>
        <w:t>prisoners.</w:t>
      </w:r>
    </w:p>
    <w:p w14:paraId="28DB31DF" w14:textId="77777777" w:rsidR="00667AA4" w:rsidRPr="009545AD" w:rsidRDefault="00667AA4" w:rsidP="00770EDE">
      <w:pPr>
        <w:pStyle w:val="xmsonormal"/>
        <w:jc w:val="both"/>
        <w:rPr>
          <w:rFonts w:ascii="Arial" w:hAnsi="Arial" w:cs="Arial"/>
          <w:sz w:val="24"/>
          <w:szCs w:val="24"/>
          <w:highlight w:val="lightGray"/>
        </w:rPr>
      </w:pPr>
    </w:p>
    <w:p w14:paraId="72EFA646" w14:textId="5E92DC7F" w:rsidR="009A5B41" w:rsidRPr="009545AD" w:rsidRDefault="009A5B41" w:rsidP="00770EDE">
      <w:pPr>
        <w:pStyle w:val="xmsonormal"/>
        <w:jc w:val="both"/>
        <w:rPr>
          <w:rFonts w:ascii="Arial" w:hAnsi="Arial" w:cs="Arial"/>
          <w:sz w:val="24"/>
          <w:szCs w:val="24"/>
        </w:rPr>
      </w:pPr>
      <w:r w:rsidRPr="009545AD">
        <w:rPr>
          <w:rFonts w:ascii="Arial" w:hAnsi="Arial" w:cs="Arial"/>
          <w:sz w:val="24"/>
          <w:szCs w:val="24"/>
        </w:rPr>
        <w:t xml:space="preserve">Plans for the coming year will include the </w:t>
      </w:r>
      <w:r w:rsidR="00EA10C3" w:rsidRPr="009545AD">
        <w:rPr>
          <w:rFonts w:ascii="Arial" w:hAnsi="Arial" w:cs="Arial"/>
          <w:sz w:val="24"/>
          <w:szCs w:val="24"/>
        </w:rPr>
        <w:t xml:space="preserve">further </w:t>
      </w:r>
      <w:r w:rsidRPr="009545AD">
        <w:rPr>
          <w:rFonts w:ascii="Arial" w:hAnsi="Arial" w:cs="Arial"/>
          <w:sz w:val="24"/>
          <w:szCs w:val="24"/>
        </w:rPr>
        <w:t xml:space="preserve">embedding of the revised National MAPPA Quality Assurance Tool locally; </w:t>
      </w:r>
      <w:r w:rsidR="00EA10C3" w:rsidRPr="009545AD">
        <w:rPr>
          <w:rFonts w:ascii="Arial" w:hAnsi="Arial" w:cs="Arial"/>
          <w:sz w:val="24"/>
          <w:szCs w:val="24"/>
        </w:rPr>
        <w:t xml:space="preserve">further </w:t>
      </w:r>
      <w:r w:rsidRPr="009545AD">
        <w:rPr>
          <w:rFonts w:ascii="Arial" w:hAnsi="Arial" w:cs="Arial"/>
          <w:sz w:val="24"/>
          <w:szCs w:val="24"/>
        </w:rPr>
        <w:t xml:space="preserve">consideration of the findings of the SMB Self-Assessment Tool </w:t>
      </w:r>
      <w:r w:rsidR="00EA10C3" w:rsidRPr="009545AD">
        <w:rPr>
          <w:rFonts w:ascii="Arial" w:hAnsi="Arial" w:cs="Arial"/>
          <w:sz w:val="24"/>
          <w:szCs w:val="24"/>
        </w:rPr>
        <w:t xml:space="preserve">recently </w:t>
      </w:r>
      <w:r w:rsidRPr="009545AD">
        <w:rPr>
          <w:rFonts w:ascii="Arial" w:hAnsi="Arial" w:cs="Arial"/>
          <w:sz w:val="24"/>
          <w:szCs w:val="24"/>
        </w:rPr>
        <w:t xml:space="preserve">undertaken, to identify areas for </w:t>
      </w:r>
      <w:r w:rsidR="00EA10C3" w:rsidRPr="009545AD">
        <w:rPr>
          <w:rFonts w:ascii="Arial" w:hAnsi="Arial" w:cs="Arial"/>
          <w:sz w:val="24"/>
          <w:szCs w:val="24"/>
        </w:rPr>
        <w:t xml:space="preserve">priority for the Board locally. Appointment of two new MAPPA Lay Advisers will also be a priority, due to a recent Lay Adviser appointment ending early; and the current long-standing Lay Adviser appointed will end a 6-year term in February 2024. </w:t>
      </w:r>
      <w:r w:rsidR="0065047B" w:rsidRPr="009545AD">
        <w:rPr>
          <w:rFonts w:ascii="Arial" w:hAnsi="Arial" w:cs="Arial"/>
          <w:sz w:val="24"/>
          <w:szCs w:val="24"/>
        </w:rPr>
        <w:t xml:space="preserve">This is also an opportunity to formally thank this individual for their dedication and time provided to Dyfed Powys MAPPA over this 6-year period, which is gratefully appreciated and will be missed. </w:t>
      </w:r>
    </w:p>
    <w:p w14:paraId="2F27F7CC" w14:textId="77777777" w:rsidR="00770EDE" w:rsidRPr="009545AD" w:rsidRDefault="00770EDE" w:rsidP="00770EDE">
      <w:pPr>
        <w:pStyle w:val="xmsonormal"/>
        <w:rPr>
          <w:rFonts w:ascii="Arial" w:hAnsi="Arial" w:cs="Arial"/>
          <w:b/>
          <w:bCs/>
          <w:sz w:val="24"/>
          <w:szCs w:val="24"/>
        </w:rPr>
      </w:pPr>
    </w:p>
    <w:p w14:paraId="0A8D75BF" w14:textId="77777777" w:rsidR="009545AD" w:rsidRDefault="009545AD" w:rsidP="00EA402A">
      <w:pPr>
        <w:pStyle w:val="xmsonormal"/>
        <w:jc w:val="both"/>
        <w:rPr>
          <w:rFonts w:ascii="Arial" w:hAnsi="Arial" w:cs="Arial"/>
          <w:b/>
          <w:bCs/>
          <w:color w:val="7030A0"/>
          <w:sz w:val="24"/>
          <w:szCs w:val="24"/>
          <w:u w:val="single"/>
        </w:rPr>
      </w:pPr>
    </w:p>
    <w:p w14:paraId="1C0F5BA1" w14:textId="6DD7CAD6" w:rsidR="00EA402A" w:rsidRPr="009545AD" w:rsidRDefault="00EA402A" w:rsidP="00EA402A">
      <w:pPr>
        <w:pStyle w:val="xmsonormal"/>
        <w:jc w:val="both"/>
        <w:rPr>
          <w:rFonts w:ascii="Arial" w:hAnsi="Arial" w:cs="Arial"/>
          <w:b/>
          <w:bCs/>
          <w:color w:val="7030A0"/>
          <w:sz w:val="24"/>
          <w:szCs w:val="24"/>
          <w:u w:val="single"/>
        </w:rPr>
      </w:pPr>
      <w:r w:rsidRPr="009545AD">
        <w:rPr>
          <w:rFonts w:ascii="Arial" w:hAnsi="Arial" w:cs="Arial"/>
          <w:b/>
          <w:bCs/>
          <w:color w:val="7030A0"/>
          <w:sz w:val="24"/>
          <w:szCs w:val="24"/>
          <w:u w:val="single"/>
        </w:rPr>
        <w:t>Detective Superintendent Jayne Butler, Dyfed Powys Police:</w:t>
      </w:r>
    </w:p>
    <w:p w14:paraId="143AE331" w14:textId="77777777" w:rsidR="00EA402A" w:rsidRPr="009545AD" w:rsidRDefault="00EA402A" w:rsidP="00EA402A">
      <w:pPr>
        <w:pStyle w:val="xmsonormal"/>
        <w:jc w:val="both"/>
        <w:rPr>
          <w:rFonts w:ascii="Arial" w:hAnsi="Arial" w:cs="Arial"/>
          <w:sz w:val="24"/>
          <w:szCs w:val="24"/>
        </w:rPr>
      </w:pPr>
    </w:p>
    <w:p w14:paraId="2E118D90" w14:textId="1DB0B91B" w:rsidR="0040371D" w:rsidRPr="009545AD" w:rsidRDefault="00061195" w:rsidP="00EA402A">
      <w:pPr>
        <w:pStyle w:val="xmsonormal"/>
        <w:jc w:val="both"/>
        <w:rPr>
          <w:rStyle w:val="ui-provider"/>
          <w:rFonts w:ascii="Arial" w:hAnsi="Arial" w:cs="Arial"/>
          <w:sz w:val="24"/>
          <w:szCs w:val="24"/>
        </w:rPr>
      </w:pPr>
      <w:r w:rsidRPr="009545AD">
        <w:rPr>
          <w:rStyle w:val="ui-provider"/>
          <w:rFonts w:ascii="Arial" w:hAnsi="Arial" w:cs="Arial"/>
          <w:sz w:val="24"/>
          <w:szCs w:val="24"/>
        </w:rPr>
        <w:t>As one of the statutory partners Dyfed Powys Police is committed to upholding its responsibility under the MAPPA arrangements. In the last year we have increased practitioner resources to ensure we are in a position to keep pace with increasing demands. The future demands will pose new challenges for the force however we will continue to work with our partners to ensure we provide the best service we can and thereby safeguard our community. We continue to seek opportunities to improve our working practices and do this with an ongoing focus on continuous improvement and development. We have representation at all SMB board meetings and sub-groups, and we eagerly engage with all multiagency training in order to enhance partnership working.</w:t>
      </w:r>
    </w:p>
    <w:p w14:paraId="334F7A72" w14:textId="77777777" w:rsidR="00061195" w:rsidRPr="009545AD" w:rsidRDefault="00061195" w:rsidP="00EA402A">
      <w:pPr>
        <w:pStyle w:val="xmsonormal"/>
        <w:jc w:val="both"/>
        <w:rPr>
          <w:rFonts w:ascii="Arial" w:hAnsi="Arial" w:cs="Arial"/>
          <w:sz w:val="24"/>
          <w:szCs w:val="24"/>
        </w:rPr>
      </w:pPr>
    </w:p>
    <w:p w14:paraId="6FC379E2" w14:textId="4CBDF29F" w:rsidR="00EA402A" w:rsidRPr="009545AD" w:rsidRDefault="00EA402A" w:rsidP="00EA402A">
      <w:pPr>
        <w:pStyle w:val="xmsonormal"/>
        <w:jc w:val="both"/>
        <w:rPr>
          <w:rFonts w:ascii="Arial" w:hAnsi="Arial" w:cs="Arial"/>
          <w:sz w:val="24"/>
          <w:szCs w:val="24"/>
        </w:rPr>
      </w:pPr>
      <w:r w:rsidRPr="009545AD">
        <w:rPr>
          <w:rFonts w:ascii="Arial" w:hAnsi="Arial" w:cs="Arial"/>
          <w:b/>
          <w:bCs/>
          <w:color w:val="7030A0"/>
          <w:sz w:val="24"/>
          <w:szCs w:val="24"/>
          <w:u w:val="single"/>
        </w:rPr>
        <w:t>Lay Advisers to the MAPPA Strategic Management Board (SMB):</w:t>
      </w:r>
    </w:p>
    <w:p w14:paraId="5E2766D3" w14:textId="2F441F59" w:rsidR="00EA402A" w:rsidRPr="009545AD" w:rsidRDefault="00EA402A" w:rsidP="00EA402A">
      <w:pPr>
        <w:jc w:val="both"/>
        <w:rPr>
          <w:rFonts w:ascii="Arial" w:hAnsi="Arial" w:cs="Arial"/>
        </w:rPr>
      </w:pPr>
    </w:p>
    <w:p w14:paraId="26EB21E6" w14:textId="3F869851" w:rsidR="003A5ED2" w:rsidRPr="009545AD" w:rsidRDefault="003A5ED2" w:rsidP="003A5ED2">
      <w:pPr>
        <w:rPr>
          <w:rFonts w:ascii="Arial" w:hAnsi="Arial" w:cs="Arial"/>
        </w:rPr>
      </w:pPr>
      <w:r w:rsidRPr="009545AD">
        <w:rPr>
          <w:rFonts w:ascii="Arial" w:hAnsi="Arial" w:cs="Arial"/>
        </w:rPr>
        <w:t xml:space="preserve">Lay Advisers are appointed to assist in reviewing the effectiveness of MAPPA arrangements; there are two Advisers for the Dyfed Powys region. Lay Advisers operate as full members of the Strategic Management Board (SMB) and are able to challenge the work of MAPPA by acting as a “Critical Friend”, bringing a different perspective and understanding to the arrangements. </w:t>
      </w:r>
    </w:p>
    <w:p w14:paraId="298E39C3" w14:textId="77777777" w:rsidR="003A5ED2" w:rsidRPr="009545AD" w:rsidRDefault="003A5ED2" w:rsidP="003A5ED2">
      <w:pPr>
        <w:rPr>
          <w:rFonts w:ascii="Arial" w:hAnsi="Arial" w:cs="Arial"/>
        </w:rPr>
      </w:pPr>
    </w:p>
    <w:p w14:paraId="25802F3A" w14:textId="41FCA0F1" w:rsidR="003A5ED2" w:rsidRPr="009545AD" w:rsidRDefault="003A5ED2" w:rsidP="003A5ED2">
      <w:pPr>
        <w:rPr>
          <w:rFonts w:ascii="Arial" w:hAnsi="Arial" w:cs="Arial"/>
        </w:rPr>
      </w:pPr>
      <w:r w:rsidRPr="009545AD">
        <w:rPr>
          <w:rFonts w:ascii="Arial" w:hAnsi="Arial" w:cs="Arial"/>
        </w:rPr>
        <w:t>As Lay Advisers, our input during the year continued using virtual platforms, and we were able to add value to the MAPPA operational and strategic arrangements in the region by:</w:t>
      </w:r>
    </w:p>
    <w:p w14:paraId="13B7051C" w14:textId="77777777" w:rsidR="003A5ED2" w:rsidRPr="009545AD" w:rsidRDefault="003A5ED2" w:rsidP="003A5ED2">
      <w:pPr>
        <w:rPr>
          <w:rFonts w:ascii="Arial" w:hAnsi="Arial" w:cs="Arial"/>
        </w:rPr>
      </w:pPr>
    </w:p>
    <w:p w14:paraId="41A0802A" w14:textId="1C803219" w:rsidR="003A5ED2" w:rsidRPr="009545AD" w:rsidRDefault="003A5ED2" w:rsidP="003A5ED2">
      <w:pPr>
        <w:pStyle w:val="ListParagraph"/>
        <w:numPr>
          <w:ilvl w:val="0"/>
          <w:numId w:val="4"/>
        </w:numPr>
        <w:rPr>
          <w:rFonts w:ascii="Arial" w:hAnsi="Arial" w:cs="Arial"/>
          <w:sz w:val="24"/>
          <w:szCs w:val="24"/>
        </w:rPr>
      </w:pPr>
      <w:r w:rsidRPr="009545AD">
        <w:rPr>
          <w:rFonts w:ascii="Arial" w:hAnsi="Arial" w:cs="Arial"/>
          <w:sz w:val="24"/>
          <w:szCs w:val="24"/>
        </w:rPr>
        <w:t>Attending MAPPA SMB meetings, providing feedback on our experiences, participating in discussions, and providing challenge as appropriate</w:t>
      </w:r>
    </w:p>
    <w:p w14:paraId="456198A9" w14:textId="7B2E854D" w:rsidR="003A5ED2" w:rsidRPr="009545AD" w:rsidRDefault="003A5ED2" w:rsidP="003A5ED2">
      <w:pPr>
        <w:pStyle w:val="ListParagraph"/>
        <w:numPr>
          <w:ilvl w:val="0"/>
          <w:numId w:val="4"/>
        </w:numPr>
        <w:rPr>
          <w:rFonts w:ascii="Arial" w:hAnsi="Arial" w:cs="Arial"/>
          <w:sz w:val="24"/>
          <w:szCs w:val="24"/>
        </w:rPr>
      </w:pPr>
      <w:r w:rsidRPr="009545AD">
        <w:rPr>
          <w:rFonts w:ascii="Arial" w:hAnsi="Arial" w:cs="Arial"/>
          <w:sz w:val="24"/>
          <w:szCs w:val="24"/>
        </w:rPr>
        <w:t>Attending MAPPA Level 2 and 3 Meetings across the region to understand the practical challenges of managing individual cases.</w:t>
      </w:r>
    </w:p>
    <w:p w14:paraId="4C2A5739" w14:textId="77777777" w:rsidR="003A5ED2" w:rsidRPr="009545AD" w:rsidRDefault="003A5ED2" w:rsidP="003A5ED2">
      <w:pPr>
        <w:pStyle w:val="ListParagraph"/>
        <w:numPr>
          <w:ilvl w:val="0"/>
          <w:numId w:val="4"/>
        </w:numPr>
        <w:rPr>
          <w:rFonts w:ascii="Arial" w:hAnsi="Arial" w:cs="Arial"/>
          <w:sz w:val="24"/>
          <w:szCs w:val="24"/>
        </w:rPr>
      </w:pPr>
      <w:r w:rsidRPr="009545AD">
        <w:rPr>
          <w:rFonts w:ascii="Arial" w:hAnsi="Arial" w:cs="Arial"/>
          <w:sz w:val="24"/>
          <w:szCs w:val="24"/>
        </w:rPr>
        <w:t xml:space="preserve">Attending Operational Group meetings to assist in the monitoring of progress to achieve MAPPA Business Plan Objectives </w:t>
      </w:r>
    </w:p>
    <w:p w14:paraId="0F60F8A8" w14:textId="373D038D" w:rsidR="003A5ED2" w:rsidRPr="009545AD" w:rsidRDefault="003A5ED2" w:rsidP="003A5ED2">
      <w:pPr>
        <w:pStyle w:val="ListParagraph"/>
        <w:numPr>
          <w:ilvl w:val="0"/>
          <w:numId w:val="4"/>
        </w:numPr>
        <w:rPr>
          <w:rFonts w:ascii="Arial" w:hAnsi="Arial" w:cs="Arial"/>
          <w:sz w:val="24"/>
          <w:szCs w:val="24"/>
        </w:rPr>
      </w:pPr>
      <w:r w:rsidRPr="009545AD">
        <w:rPr>
          <w:rFonts w:ascii="Arial" w:hAnsi="Arial" w:cs="Arial"/>
          <w:sz w:val="24"/>
          <w:szCs w:val="24"/>
        </w:rPr>
        <w:t>Participating in Quality Assurance events to assess the effectiveness of MAPPA decision making, effective risk management planning and recording of meetings.</w:t>
      </w:r>
    </w:p>
    <w:p w14:paraId="162FFB6F" w14:textId="41AF8477" w:rsidR="003A5ED2" w:rsidRPr="009545AD" w:rsidRDefault="003A5ED2" w:rsidP="003A5ED2">
      <w:pPr>
        <w:pStyle w:val="ListParagraph"/>
        <w:numPr>
          <w:ilvl w:val="0"/>
          <w:numId w:val="4"/>
        </w:numPr>
        <w:rPr>
          <w:rFonts w:ascii="Arial" w:hAnsi="Arial" w:cs="Arial"/>
          <w:sz w:val="24"/>
          <w:szCs w:val="24"/>
        </w:rPr>
      </w:pPr>
      <w:r w:rsidRPr="009545AD">
        <w:rPr>
          <w:rFonts w:ascii="Arial" w:hAnsi="Arial" w:cs="Arial"/>
          <w:sz w:val="24"/>
          <w:szCs w:val="24"/>
        </w:rPr>
        <w:t xml:space="preserve">Attending the Dyfed Powys MAPPA Conferences to understand the national and regional perspectives. </w:t>
      </w:r>
    </w:p>
    <w:p w14:paraId="49CD7FDB" w14:textId="2916681F" w:rsidR="003A5ED2" w:rsidRPr="009545AD" w:rsidRDefault="003A5ED2" w:rsidP="003A5ED2">
      <w:pPr>
        <w:pStyle w:val="ListParagraph"/>
        <w:numPr>
          <w:ilvl w:val="0"/>
          <w:numId w:val="4"/>
        </w:numPr>
        <w:rPr>
          <w:rFonts w:ascii="Arial" w:hAnsi="Arial" w:cs="Arial"/>
          <w:sz w:val="24"/>
          <w:szCs w:val="24"/>
        </w:rPr>
      </w:pPr>
      <w:r w:rsidRPr="009545AD">
        <w:rPr>
          <w:rFonts w:ascii="Arial" w:hAnsi="Arial" w:cs="Arial"/>
          <w:sz w:val="24"/>
          <w:szCs w:val="24"/>
        </w:rPr>
        <w:t>Providing feedback regarding the Joint Police and Probation Inspection report on MAPPA including areas for improvement and suggestions as to how the improvements could be achieved.</w:t>
      </w:r>
    </w:p>
    <w:p w14:paraId="6BAEC6AD" w14:textId="15B055CA" w:rsidR="003A5ED2" w:rsidRPr="009545AD" w:rsidRDefault="003A5ED2" w:rsidP="003A5ED2">
      <w:pPr>
        <w:pStyle w:val="ListParagraph"/>
        <w:numPr>
          <w:ilvl w:val="0"/>
          <w:numId w:val="4"/>
        </w:numPr>
        <w:rPr>
          <w:rFonts w:ascii="Arial" w:hAnsi="Arial" w:cs="Arial"/>
          <w:sz w:val="24"/>
          <w:szCs w:val="24"/>
        </w:rPr>
      </w:pPr>
      <w:r w:rsidRPr="009545AD">
        <w:rPr>
          <w:rFonts w:ascii="Arial" w:hAnsi="Arial" w:cs="Arial"/>
          <w:sz w:val="24"/>
          <w:szCs w:val="24"/>
        </w:rPr>
        <w:t>Participation in the National MAPPA Team Task and Finish Group to develop an Assessment Tool for SMB’s to use to measure their effectiveness.</w:t>
      </w:r>
    </w:p>
    <w:p w14:paraId="2B08DE0C" w14:textId="77777777" w:rsidR="003A5ED2" w:rsidRPr="009545AD" w:rsidRDefault="003A5ED2" w:rsidP="003A5ED2">
      <w:pPr>
        <w:pStyle w:val="ListParagraph"/>
        <w:numPr>
          <w:ilvl w:val="0"/>
          <w:numId w:val="4"/>
        </w:numPr>
        <w:rPr>
          <w:rFonts w:ascii="Arial" w:hAnsi="Arial" w:cs="Arial"/>
          <w:sz w:val="24"/>
          <w:szCs w:val="24"/>
        </w:rPr>
      </w:pPr>
      <w:r w:rsidRPr="009545AD">
        <w:rPr>
          <w:rFonts w:ascii="Arial" w:hAnsi="Arial" w:cs="Arial"/>
          <w:sz w:val="24"/>
          <w:szCs w:val="24"/>
        </w:rPr>
        <w:t>Providing general feedback to the MAPPA Coordinator through regular Lay Adviser meetings</w:t>
      </w:r>
    </w:p>
    <w:p w14:paraId="0E3B4E4D" w14:textId="77777777" w:rsidR="003A5ED2" w:rsidRPr="009545AD" w:rsidRDefault="003A5ED2" w:rsidP="003A5ED2">
      <w:pPr>
        <w:rPr>
          <w:rFonts w:ascii="Arial" w:hAnsi="Arial" w:cs="Arial"/>
        </w:rPr>
      </w:pPr>
      <w:r w:rsidRPr="009545AD">
        <w:rPr>
          <w:rFonts w:ascii="Arial" w:hAnsi="Arial" w:cs="Arial"/>
        </w:rPr>
        <w:t>Key challenges noted from our involvement have been:</w:t>
      </w:r>
    </w:p>
    <w:p w14:paraId="14378E95" w14:textId="698B31BA" w:rsidR="003A5ED2" w:rsidRPr="009545AD" w:rsidRDefault="003A5ED2" w:rsidP="003A5ED2">
      <w:pPr>
        <w:pStyle w:val="ListParagraph"/>
        <w:numPr>
          <w:ilvl w:val="0"/>
          <w:numId w:val="5"/>
        </w:numPr>
        <w:rPr>
          <w:rFonts w:ascii="Arial" w:hAnsi="Arial" w:cs="Arial"/>
          <w:sz w:val="24"/>
          <w:szCs w:val="24"/>
        </w:rPr>
      </w:pPr>
      <w:r w:rsidRPr="009545AD">
        <w:rPr>
          <w:rFonts w:ascii="Arial" w:hAnsi="Arial" w:cs="Arial"/>
          <w:sz w:val="24"/>
          <w:szCs w:val="24"/>
        </w:rPr>
        <w:t xml:space="preserve">The enormous pressure on accommodation in all sectors and of all types and the impact that this has on the ability to provide safe, sustainable, and timely housing solutions for </w:t>
      </w:r>
      <w:r w:rsidR="00C10AB7">
        <w:rPr>
          <w:rFonts w:ascii="Arial" w:hAnsi="Arial" w:cs="Arial"/>
          <w:sz w:val="24"/>
          <w:szCs w:val="24"/>
        </w:rPr>
        <w:t>MAPPA subjects</w:t>
      </w:r>
      <w:r w:rsidRPr="009545AD">
        <w:rPr>
          <w:rFonts w:ascii="Arial" w:hAnsi="Arial" w:cs="Arial"/>
          <w:sz w:val="24"/>
          <w:szCs w:val="24"/>
        </w:rPr>
        <w:t>. It is disappointing that there has been little progress at a national level to formulate and deliver a cohesive Accommodation Strategy</w:t>
      </w:r>
    </w:p>
    <w:p w14:paraId="32659CDB" w14:textId="77777777" w:rsidR="003A5ED2" w:rsidRPr="009545AD" w:rsidRDefault="003A5ED2" w:rsidP="003A5ED2">
      <w:pPr>
        <w:pStyle w:val="ListParagraph"/>
        <w:numPr>
          <w:ilvl w:val="0"/>
          <w:numId w:val="5"/>
        </w:numPr>
        <w:rPr>
          <w:rFonts w:ascii="Arial" w:hAnsi="Arial" w:cs="Arial"/>
          <w:sz w:val="24"/>
          <w:szCs w:val="24"/>
        </w:rPr>
      </w:pPr>
      <w:r w:rsidRPr="009545AD">
        <w:rPr>
          <w:rFonts w:ascii="Arial" w:hAnsi="Arial" w:cs="Arial"/>
          <w:sz w:val="24"/>
          <w:szCs w:val="24"/>
        </w:rPr>
        <w:t>The continued increase in MAPPA workload across all levels and the pressures that this exerts on all agencies and the MAPPA Unit</w:t>
      </w:r>
    </w:p>
    <w:p w14:paraId="7F3F5645" w14:textId="0E145F0C" w:rsidR="003A5ED2" w:rsidRPr="009545AD" w:rsidRDefault="003A5ED2" w:rsidP="003A5ED2">
      <w:pPr>
        <w:pStyle w:val="ListParagraph"/>
        <w:numPr>
          <w:ilvl w:val="0"/>
          <w:numId w:val="5"/>
        </w:numPr>
        <w:rPr>
          <w:rFonts w:ascii="Arial" w:hAnsi="Arial" w:cs="Arial"/>
          <w:sz w:val="24"/>
          <w:szCs w:val="24"/>
        </w:rPr>
      </w:pPr>
      <w:r w:rsidRPr="009545AD">
        <w:rPr>
          <w:rFonts w:ascii="Arial" w:hAnsi="Arial" w:cs="Arial"/>
          <w:sz w:val="24"/>
          <w:szCs w:val="24"/>
        </w:rPr>
        <w:t>The impact upon delivering services in a timely manner due to different funding regimes and priorities between agencies and regions. Consideration of developing a pooled funding approach to negate potential difficulties has been raised.</w:t>
      </w:r>
    </w:p>
    <w:p w14:paraId="3BDD97AB" w14:textId="3F5866A9" w:rsidR="003A5ED2" w:rsidRPr="009545AD" w:rsidRDefault="003A5ED2" w:rsidP="003A5ED2">
      <w:pPr>
        <w:pStyle w:val="ListParagraph"/>
        <w:numPr>
          <w:ilvl w:val="0"/>
          <w:numId w:val="5"/>
        </w:numPr>
        <w:rPr>
          <w:rFonts w:ascii="Arial" w:hAnsi="Arial" w:cs="Arial"/>
          <w:sz w:val="24"/>
          <w:szCs w:val="24"/>
        </w:rPr>
      </w:pPr>
      <w:r w:rsidRPr="009545AD">
        <w:rPr>
          <w:rFonts w:ascii="Arial" w:hAnsi="Arial" w:cs="Arial"/>
          <w:sz w:val="24"/>
          <w:szCs w:val="24"/>
        </w:rPr>
        <w:lastRenderedPageBreak/>
        <w:t>The need to increase and maintain awareness of the work undertaken by MAPPA within the community to provide the public with confidence in the way in which high risk offenders are managed.</w:t>
      </w:r>
    </w:p>
    <w:p w14:paraId="3F1045AD" w14:textId="77777777" w:rsidR="003A5ED2" w:rsidRPr="009545AD" w:rsidRDefault="003A5ED2" w:rsidP="003A5ED2">
      <w:pPr>
        <w:rPr>
          <w:rFonts w:ascii="Arial" w:hAnsi="Arial" w:cs="Arial"/>
        </w:rPr>
      </w:pPr>
      <w:r w:rsidRPr="009545AD">
        <w:rPr>
          <w:rFonts w:ascii="Arial" w:hAnsi="Arial" w:cs="Arial"/>
        </w:rPr>
        <w:t>We have also noted some good practice and positives:</w:t>
      </w:r>
    </w:p>
    <w:p w14:paraId="6E4DCD6B" w14:textId="77777777" w:rsidR="003A5ED2" w:rsidRPr="009545AD" w:rsidRDefault="003A5ED2" w:rsidP="003A5ED2">
      <w:pPr>
        <w:pStyle w:val="ListParagraph"/>
        <w:numPr>
          <w:ilvl w:val="0"/>
          <w:numId w:val="5"/>
        </w:numPr>
        <w:rPr>
          <w:rFonts w:ascii="Arial" w:hAnsi="Arial" w:cs="Arial"/>
          <w:sz w:val="24"/>
          <w:szCs w:val="24"/>
        </w:rPr>
      </w:pPr>
      <w:r w:rsidRPr="009545AD">
        <w:rPr>
          <w:rFonts w:ascii="Arial" w:hAnsi="Arial" w:cs="Arial"/>
          <w:sz w:val="24"/>
          <w:szCs w:val="24"/>
        </w:rPr>
        <w:t>The openness of agencies within MAPPA meetings regarding sharing of information and challenging colleagues to develop Risk Management Plans</w:t>
      </w:r>
    </w:p>
    <w:p w14:paraId="39CE7E54" w14:textId="7CEE2EC3" w:rsidR="003A5ED2" w:rsidRPr="009545AD" w:rsidRDefault="003A5ED2" w:rsidP="003A5ED2">
      <w:pPr>
        <w:pStyle w:val="ListParagraph"/>
        <w:numPr>
          <w:ilvl w:val="0"/>
          <w:numId w:val="5"/>
        </w:numPr>
        <w:rPr>
          <w:rFonts w:ascii="Arial" w:hAnsi="Arial" w:cs="Arial"/>
          <w:sz w:val="24"/>
          <w:szCs w:val="24"/>
        </w:rPr>
      </w:pPr>
      <w:r w:rsidRPr="009545AD">
        <w:rPr>
          <w:rFonts w:ascii="Arial" w:hAnsi="Arial" w:cs="Arial"/>
          <w:sz w:val="24"/>
          <w:szCs w:val="24"/>
        </w:rPr>
        <w:t>Effective management of cases into MAPPA Levels 2 and 3 and exiting cases from MAPPA when appropriate and safe to do so.</w:t>
      </w:r>
    </w:p>
    <w:p w14:paraId="41D12B1E" w14:textId="77777777" w:rsidR="003A5ED2" w:rsidRPr="009545AD" w:rsidRDefault="003A5ED2" w:rsidP="003A5ED2">
      <w:pPr>
        <w:pStyle w:val="ListParagraph"/>
        <w:numPr>
          <w:ilvl w:val="0"/>
          <w:numId w:val="5"/>
        </w:numPr>
        <w:rPr>
          <w:rFonts w:ascii="Arial" w:hAnsi="Arial" w:cs="Arial"/>
          <w:sz w:val="24"/>
          <w:szCs w:val="24"/>
        </w:rPr>
      </w:pPr>
      <w:r w:rsidRPr="009545AD">
        <w:rPr>
          <w:rFonts w:ascii="Arial" w:hAnsi="Arial" w:cs="Arial"/>
          <w:sz w:val="24"/>
          <w:szCs w:val="24"/>
        </w:rPr>
        <w:t>Continued improvement in the consistency of chairing across county boundaries within Dyfed Powys</w:t>
      </w:r>
    </w:p>
    <w:p w14:paraId="5A24BAF1" w14:textId="1508211C" w:rsidR="003A5ED2" w:rsidRPr="009545AD" w:rsidRDefault="003A5ED2" w:rsidP="003A5ED2">
      <w:pPr>
        <w:pStyle w:val="ListParagraph"/>
        <w:numPr>
          <w:ilvl w:val="0"/>
          <w:numId w:val="5"/>
        </w:numPr>
        <w:rPr>
          <w:rFonts w:ascii="Arial" w:hAnsi="Arial" w:cs="Arial"/>
          <w:sz w:val="24"/>
          <w:szCs w:val="24"/>
        </w:rPr>
      </w:pPr>
      <w:r w:rsidRPr="009545AD">
        <w:rPr>
          <w:rFonts w:ascii="Arial" w:hAnsi="Arial" w:cs="Arial"/>
          <w:sz w:val="24"/>
          <w:szCs w:val="24"/>
        </w:rPr>
        <w:t>Good links being made with other initiatives such as the Joint Intelligence Programme to manage individuals and their risks.</w:t>
      </w:r>
      <w:r w:rsidRPr="009545AD">
        <w:rPr>
          <w:rFonts w:ascii="Arial" w:hAnsi="Arial" w:cs="Arial"/>
          <w:sz w:val="24"/>
          <w:szCs w:val="24"/>
        </w:rPr>
        <w:tab/>
      </w:r>
    </w:p>
    <w:p w14:paraId="3BF41131" w14:textId="31174541" w:rsidR="00770EDE" w:rsidRPr="009545AD" w:rsidRDefault="003A5ED2" w:rsidP="00061195">
      <w:pPr>
        <w:rPr>
          <w:rFonts w:ascii="Arial" w:hAnsi="Arial" w:cs="Arial"/>
        </w:rPr>
      </w:pPr>
      <w:r w:rsidRPr="009545AD">
        <w:rPr>
          <w:rFonts w:ascii="Arial" w:hAnsi="Arial" w:cs="Arial"/>
        </w:rPr>
        <w:tab/>
      </w:r>
      <w:r w:rsidRPr="009545AD">
        <w:rPr>
          <w:rFonts w:ascii="Arial" w:hAnsi="Arial" w:cs="Arial"/>
        </w:rPr>
        <w:tab/>
      </w:r>
      <w:r w:rsidRPr="009545AD">
        <w:rPr>
          <w:rFonts w:ascii="Arial" w:hAnsi="Arial" w:cs="Arial"/>
        </w:rPr>
        <w:tab/>
      </w:r>
    </w:p>
    <w:p w14:paraId="405E0431" w14:textId="77777777" w:rsidR="00770EDE" w:rsidRDefault="00770EDE" w:rsidP="00770EDE">
      <w:pPr>
        <w:pStyle w:val="xmsonormal"/>
        <w:rPr>
          <w:rFonts w:ascii="Arial" w:hAnsi="Arial" w:cs="Arial"/>
          <w:b/>
          <w:bCs/>
          <w:sz w:val="24"/>
          <w:szCs w:val="24"/>
        </w:rPr>
        <w:sectPr w:rsidR="00770EDE" w:rsidSect="00770EDE">
          <w:type w:val="continuous"/>
          <w:pgSz w:w="11905" w:h="16837" w:code="9"/>
          <w:pgMar w:top="720" w:right="720" w:bottom="720" w:left="720" w:header="720" w:footer="567" w:gutter="0"/>
          <w:cols w:space="720"/>
          <w:noEndnote/>
        </w:sectPr>
      </w:pPr>
    </w:p>
    <w:p w14:paraId="6620B6A1" w14:textId="2B802116" w:rsidR="00332EE6" w:rsidRPr="00031899" w:rsidRDefault="00332EE6" w:rsidP="00031899">
      <w:pPr>
        <w:pStyle w:val="xmsonormal"/>
        <w:jc w:val="both"/>
        <w:rPr>
          <w:rFonts w:ascii="Arial" w:hAnsi="Arial" w:cs="Arial"/>
          <w:sz w:val="20"/>
          <w:szCs w:val="20"/>
        </w:rPr>
        <w:sectPr w:rsidR="00332EE6" w:rsidRPr="00031899" w:rsidSect="00867C9E">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All MAPPA reports from England and Wales are published online at:</w:t>
      </w:r>
    </w:p>
    <w:p w14:paraId="14EA9D9B" w14:textId="77777777" w:rsidR="00332EE6" w:rsidRPr="00B01E0C" w:rsidRDefault="004C4B3B" w:rsidP="00332EE6">
      <w:pPr>
        <w:pStyle w:val="MAPPA-Bodytext"/>
        <w:jc w:val="center"/>
        <w:rPr>
          <w:b/>
          <w:color w:val="007DC3"/>
          <w:sz w:val="26"/>
          <w:szCs w:val="26"/>
          <w:lang w:val="en-GB"/>
        </w:rPr>
      </w:pPr>
      <w:hyperlink r:id="rId29"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10DB9241" w14:textId="77777777" w:rsidR="009545AD" w:rsidRPr="006954C2" w:rsidRDefault="009545AD"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30"/>
          <w:pgSz w:w="11905" w:h="16837" w:code="9"/>
          <w:pgMar w:top="720" w:right="720" w:bottom="720" w:left="720" w:header="720" w:footer="567" w:gutter="0"/>
          <w:cols w:space="720"/>
          <w:noEndnote/>
          <w:docGrid w:linePitch="360"/>
        </w:sectPr>
      </w:pPr>
    </w:p>
    <w:p w14:paraId="511E354C" w14:textId="03567D1F"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293E0044">
            <wp:extent cx="2146300" cy="926465"/>
            <wp:effectExtent l="0" t="0" r="6350" b="6985"/>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81193" cy="941527"/>
                    </a:xfrm>
                    <a:prstGeom prst="rect">
                      <a:avLst/>
                    </a:prstGeom>
                    <a:noFill/>
                    <a:ln>
                      <a:noFill/>
                    </a:ln>
                  </pic:spPr>
                </pic:pic>
              </a:graphicData>
            </a:graphic>
          </wp:inline>
        </w:drawing>
      </w:r>
      <w:r w:rsidR="009545AD">
        <w:rPr>
          <w:rFonts w:ascii="Arial" w:hAnsi="Arial" w:cs="Arial"/>
          <w:color w:val="7030A0"/>
        </w:rPr>
        <w:t xml:space="preserve">          </w:t>
      </w:r>
    </w:p>
    <w:p w14:paraId="1390E1F0" w14:textId="77777777" w:rsidR="0052760C" w:rsidRPr="006954C2" w:rsidRDefault="0052760C" w:rsidP="005A1B9A">
      <w:pPr>
        <w:jc w:val="center"/>
        <w:rPr>
          <w:rFonts w:ascii="Arial" w:hAnsi="Arial" w:cs="Arial"/>
          <w:color w:val="7030A0"/>
        </w:rPr>
      </w:pPr>
    </w:p>
    <w:p w14:paraId="670A7522" w14:textId="52867924" w:rsidR="0052760C" w:rsidRPr="006954C2" w:rsidRDefault="009545AD" w:rsidP="005A1B9A">
      <w:pPr>
        <w:jc w:val="center"/>
        <w:rPr>
          <w:rFonts w:ascii="Arial" w:hAnsi="Arial" w:cs="Arial"/>
          <w:color w:val="7030A0"/>
        </w:rPr>
      </w:pPr>
      <w:r>
        <w:rPr>
          <w:noProof/>
        </w:rPr>
        <w:drawing>
          <wp:inline distT="0" distB="0" distL="0" distR="0" wp14:anchorId="0BE23665" wp14:editId="62868EEA">
            <wp:extent cx="1752600" cy="762000"/>
            <wp:effectExtent l="0" t="0" r="0" b="0"/>
            <wp:docPr id="14" name="Picture 14" descr="Dyfed Powys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yfed Powys Police Logo"/>
                    <pic:cNvPicPr/>
                  </pic:nvPicPr>
                  <pic:blipFill>
                    <a:blip r:embed="rId32">
                      <a:extLst>
                        <a:ext uri="{28A0092B-C50C-407E-A947-70E740481C1C}">
                          <a14:useLocalDpi xmlns:a14="http://schemas.microsoft.com/office/drawing/2010/main" val="0"/>
                        </a:ext>
                      </a:extLst>
                    </a:blip>
                    <a:stretch>
                      <a:fillRect/>
                    </a:stretch>
                  </pic:blipFill>
                  <pic:spPr>
                    <a:xfrm>
                      <a:off x="0" y="0"/>
                      <a:ext cx="1781056" cy="774372"/>
                    </a:xfrm>
                    <a:prstGeom prst="rect">
                      <a:avLst/>
                    </a:prstGeom>
                  </pic:spPr>
                </pic:pic>
              </a:graphicData>
            </a:graphic>
          </wp:inline>
        </w:drawing>
      </w:r>
    </w:p>
    <w:p w14:paraId="184D6788" w14:textId="7E094A69" w:rsidR="00DE3907" w:rsidRPr="009545AD" w:rsidRDefault="0052760C" w:rsidP="009545AD">
      <w:pPr>
        <w:jc w:val="center"/>
        <w:rPr>
          <w:rFonts w:ascii="Arial" w:hAnsi="Arial" w:cs="Arial"/>
          <w:color w:val="7030A0"/>
        </w:rPr>
      </w:pPr>
      <w:r w:rsidRPr="006954C2">
        <w:rPr>
          <w:noProof/>
          <w:color w:val="7030A0"/>
        </w:rPr>
        <w:drawing>
          <wp:inline distT="0" distB="0" distL="0" distR="0" wp14:anchorId="437D3C08" wp14:editId="1C9A47BF">
            <wp:extent cx="1657350" cy="971550"/>
            <wp:effectExtent l="0" t="0" r="0" b="0"/>
            <wp:docPr id="4" name="Picture 2"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8118" cy="972000"/>
                    </a:xfrm>
                    <a:prstGeom prst="rect">
                      <a:avLst/>
                    </a:prstGeom>
                    <a:noFill/>
                  </pic:spPr>
                </pic:pic>
              </a:graphicData>
            </a:graphic>
          </wp:inline>
        </w:drawing>
      </w:r>
    </w:p>
    <w:sectPr w:rsidR="00DE3907" w:rsidRPr="009545AD"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F823" w14:textId="77777777" w:rsidR="00FC5883" w:rsidRDefault="00FC5883" w:rsidP="001A5708">
      <w:pPr>
        <w:pStyle w:val="MAPPA-Bodytext"/>
      </w:pPr>
      <w:r>
        <w:separator/>
      </w:r>
    </w:p>
  </w:endnote>
  <w:endnote w:type="continuationSeparator" w:id="0">
    <w:p w14:paraId="1ACC23B3" w14:textId="77777777" w:rsidR="00FC5883" w:rsidRDefault="00FC5883" w:rsidP="001A5708">
      <w:pPr>
        <w:pStyle w:val="MAPPA-Bodytext"/>
      </w:pPr>
      <w:r>
        <w:continuationSeparator/>
      </w:r>
    </w:p>
  </w:endnote>
  <w:endnote w:type="continuationNotice" w:id="1">
    <w:p w14:paraId="359D9718" w14:textId="77777777" w:rsidR="00FC5883" w:rsidRDefault="00FC5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250BF754"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w:t>
    </w:r>
    <w:r w:rsidR="00C10AB7">
      <w:rPr>
        <w:rStyle w:val="PageNumber"/>
        <w:rFonts w:ascii="Arial" w:hAnsi="Arial" w:cs="Arial"/>
        <w:sz w:val="18"/>
        <w:szCs w:val="18"/>
      </w:rPr>
      <w:t>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FDF5" w14:textId="77777777" w:rsidR="003A5ED2" w:rsidRPr="00735E92" w:rsidRDefault="003A5ED2"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3A25"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3</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8DC9" w14:textId="77777777" w:rsidR="00FC5883" w:rsidRDefault="00FC5883" w:rsidP="001A5708">
      <w:pPr>
        <w:pStyle w:val="MAPPA-Bodytext"/>
      </w:pPr>
      <w:r>
        <w:separator/>
      </w:r>
    </w:p>
  </w:footnote>
  <w:footnote w:type="continuationSeparator" w:id="0">
    <w:p w14:paraId="1E455898" w14:textId="77777777" w:rsidR="00FC5883" w:rsidRDefault="00FC5883" w:rsidP="001A5708">
      <w:pPr>
        <w:pStyle w:val="MAPPA-Bodytext"/>
      </w:pPr>
      <w:r>
        <w:continuationSeparator/>
      </w:r>
    </w:p>
  </w:footnote>
  <w:footnote w:type="continuationNotice" w:id="1">
    <w:p w14:paraId="5D0EE01D" w14:textId="77777777" w:rsidR="00FC5883" w:rsidRDefault="00FC5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BBFC" w14:textId="77777777" w:rsidR="00920286" w:rsidRDefault="00920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15EF" w14:textId="77777777" w:rsidR="00920286" w:rsidRDefault="00920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A333" w14:textId="77777777" w:rsidR="00920286" w:rsidRDefault="00920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12F50"/>
    <w:multiLevelType w:val="hybridMultilevel"/>
    <w:tmpl w:val="6E7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D10D3"/>
    <w:multiLevelType w:val="multilevel"/>
    <w:tmpl w:val="3C447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887380"/>
    <w:multiLevelType w:val="hybridMultilevel"/>
    <w:tmpl w:val="E876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C20B5"/>
    <w:multiLevelType w:val="hybridMultilevel"/>
    <w:tmpl w:val="081E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597818">
    <w:abstractNumId w:val="1"/>
  </w:num>
  <w:num w:numId="2" w16cid:durableId="631595292">
    <w:abstractNumId w:val="4"/>
  </w:num>
  <w:num w:numId="3" w16cid:durableId="362247519">
    <w:abstractNumId w:val="2"/>
  </w:num>
  <w:num w:numId="4" w16cid:durableId="1063872282">
    <w:abstractNumId w:val="3"/>
  </w:num>
  <w:num w:numId="5" w16cid:durableId="463622313">
    <w:abstractNumId w:val="0"/>
  </w:num>
  <w:num w:numId="6" w16cid:durableId="470290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31899"/>
    <w:rsid w:val="00033165"/>
    <w:rsid w:val="00036426"/>
    <w:rsid w:val="00051C64"/>
    <w:rsid w:val="000536B2"/>
    <w:rsid w:val="00061195"/>
    <w:rsid w:val="000739BA"/>
    <w:rsid w:val="000809B8"/>
    <w:rsid w:val="0009323B"/>
    <w:rsid w:val="000A6775"/>
    <w:rsid w:val="000E3453"/>
    <w:rsid w:val="000F01E9"/>
    <w:rsid w:val="000F355B"/>
    <w:rsid w:val="00105344"/>
    <w:rsid w:val="001143B7"/>
    <w:rsid w:val="001435D5"/>
    <w:rsid w:val="00146AC1"/>
    <w:rsid w:val="00152647"/>
    <w:rsid w:val="00154D3E"/>
    <w:rsid w:val="0017380D"/>
    <w:rsid w:val="001800EB"/>
    <w:rsid w:val="00194B1F"/>
    <w:rsid w:val="001976DE"/>
    <w:rsid w:val="001A4849"/>
    <w:rsid w:val="001A5708"/>
    <w:rsid w:val="001B4354"/>
    <w:rsid w:val="001C2687"/>
    <w:rsid w:val="001D15DF"/>
    <w:rsid w:val="001D5B9B"/>
    <w:rsid w:val="001E4AC5"/>
    <w:rsid w:val="001E793A"/>
    <w:rsid w:val="001F341F"/>
    <w:rsid w:val="001F3FB5"/>
    <w:rsid w:val="00203010"/>
    <w:rsid w:val="00233AB5"/>
    <w:rsid w:val="002446A8"/>
    <w:rsid w:val="002621F5"/>
    <w:rsid w:val="0027253A"/>
    <w:rsid w:val="00274A96"/>
    <w:rsid w:val="00281FCC"/>
    <w:rsid w:val="0028255E"/>
    <w:rsid w:val="00296A85"/>
    <w:rsid w:val="002A5E53"/>
    <w:rsid w:val="002B3DF0"/>
    <w:rsid w:val="002C0567"/>
    <w:rsid w:val="002C2403"/>
    <w:rsid w:val="002D5862"/>
    <w:rsid w:val="002F763F"/>
    <w:rsid w:val="00302FA6"/>
    <w:rsid w:val="00316362"/>
    <w:rsid w:val="00331827"/>
    <w:rsid w:val="00332369"/>
    <w:rsid w:val="00332EE6"/>
    <w:rsid w:val="00334657"/>
    <w:rsid w:val="00337928"/>
    <w:rsid w:val="00342221"/>
    <w:rsid w:val="00347A55"/>
    <w:rsid w:val="003554C4"/>
    <w:rsid w:val="003668BB"/>
    <w:rsid w:val="00391BEB"/>
    <w:rsid w:val="00395ED3"/>
    <w:rsid w:val="00396101"/>
    <w:rsid w:val="00397110"/>
    <w:rsid w:val="003A385F"/>
    <w:rsid w:val="003A5ED2"/>
    <w:rsid w:val="003B6695"/>
    <w:rsid w:val="003C0362"/>
    <w:rsid w:val="003C36DD"/>
    <w:rsid w:val="003D50F9"/>
    <w:rsid w:val="003E0965"/>
    <w:rsid w:val="003F03F6"/>
    <w:rsid w:val="0040371D"/>
    <w:rsid w:val="00410720"/>
    <w:rsid w:val="00421553"/>
    <w:rsid w:val="0043417E"/>
    <w:rsid w:val="00441138"/>
    <w:rsid w:val="0044659C"/>
    <w:rsid w:val="00447974"/>
    <w:rsid w:val="004602E7"/>
    <w:rsid w:val="0046416B"/>
    <w:rsid w:val="00476A59"/>
    <w:rsid w:val="00486257"/>
    <w:rsid w:val="00494FE2"/>
    <w:rsid w:val="004C40BA"/>
    <w:rsid w:val="004C4B3B"/>
    <w:rsid w:val="004E35DC"/>
    <w:rsid w:val="004E6F7E"/>
    <w:rsid w:val="00507932"/>
    <w:rsid w:val="0052037E"/>
    <w:rsid w:val="00525E0C"/>
    <w:rsid w:val="0052760C"/>
    <w:rsid w:val="00542928"/>
    <w:rsid w:val="00546026"/>
    <w:rsid w:val="00560418"/>
    <w:rsid w:val="00561E0B"/>
    <w:rsid w:val="00563E49"/>
    <w:rsid w:val="00594656"/>
    <w:rsid w:val="005A1B9A"/>
    <w:rsid w:val="005A4FD4"/>
    <w:rsid w:val="005D189A"/>
    <w:rsid w:val="005E1880"/>
    <w:rsid w:val="005E20D8"/>
    <w:rsid w:val="0065047B"/>
    <w:rsid w:val="0065675B"/>
    <w:rsid w:val="00662BE5"/>
    <w:rsid w:val="0066652E"/>
    <w:rsid w:val="00667AA4"/>
    <w:rsid w:val="00673321"/>
    <w:rsid w:val="00683239"/>
    <w:rsid w:val="00683618"/>
    <w:rsid w:val="006877F7"/>
    <w:rsid w:val="0069414D"/>
    <w:rsid w:val="006954C2"/>
    <w:rsid w:val="00695CEC"/>
    <w:rsid w:val="0069789C"/>
    <w:rsid w:val="006A056D"/>
    <w:rsid w:val="006A45B8"/>
    <w:rsid w:val="006A7F33"/>
    <w:rsid w:val="006B75D2"/>
    <w:rsid w:val="006C58FB"/>
    <w:rsid w:val="006D6914"/>
    <w:rsid w:val="006E2307"/>
    <w:rsid w:val="006E71D8"/>
    <w:rsid w:val="007000D6"/>
    <w:rsid w:val="007059C7"/>
    <w:rsid w:val="007131AC"/>
    <w:rsid w:val="00716097"/>
    <w:rsid w:val="00717E7B"/>
    <w:rsid w:val="007215AF"/>
    <w:rsid w:val="00722F6A"/>
    <w:rsid w:val="00730FAC"/>
    <w:rsid w:val="00735E92"/>
    <w:rsid w:val="00740AED"/>
    <w:rsid w:val="00740F8A"/>
    <w:rsid w:val="00744D61"/>
    <w:rsid w:val="007477FB"/>
    <w:rsid w:val="00761E84"/>
    <w:rsid w:val="00762D19"/>
    <w:rsid w:val="00770EDE"/>
    <w:rsid w:val="00782444"/>
    <w:rsid w:val="00783E05"/>
    <w:rsid w:val="00786A3A"/>
    <w:rsid w:val="007A47E1"/>
    <w:rsid w:val="007B4C1E"/>
    <w:rsid w:val="007B7706"/>
    <w:rsid w:val="007C0669"/>
    <w:rsid w:val="007C08AC"/>
    <w:rsid w:val="007C095C"/>
    <w:rsid w:val="007C6D23"/>
    <w:rsid w:val="007C7106"/>
    <w:rsid w:val="007E2BA1"/>
    <w:rsid w:val="00815132"/>
    <w:rsid w:val="008218B2"/>
    <w:rsid w:val="008258A0"/>
    <w:rsid w:val="00833817"/>
    <w:rsid w:val="00834E17"/>
    <w:rsid w:val="00845D34"/>
    <w:rsid w:val="00846E32"/>
    <w:rsid w:val="00856D56"/>
    <w:rsid w:val="00867C9E"/>
    <w:rsid w:val="008872F1"/>
    <w:rsid w:val="0089121C"/>
    <w:rsid w:val="008C1531"/>
    <w:rsid w:val="008C3C42"/>
    <w:rsid w:val="008C6282"/>
    <w:rsid w:val="008D1CDE"/>
    <w:rsid w:val="008E15B2"/>
    <w:rsid w:val="008E2C4B"/>
    <w:rsid w:val="008F243E"/>
    <w:rsid w:val="008F69D6"/>
    <w:rsid w:val="008F775D"/>
    <w:rsid w:val="00900E5D"/>
    <w:rsid w:val="0090299B"/>
    <w:rsid w:val="00904927"/>
    <w:rsid w:val="0091273E"/>
    <w:rsid w:val="00912A31"/>
    <w:rsid w:val="00912DD0"/>
    <w:rsid w:val="00913822"/>
    <w:rsid w:val="00916D29"/>
    <w:rsid w:val="00920286"/>
    <w:rsid w:val="0092048C"/>
    <w:rsid w:val="009221C1"/>
    <w:rsid w:val="009311B4"/>
    <w:rsid w:val="00940740"/>
    <w:rsid w:val="0095383C"/>
    <w:rsid w:val="009545AD"/>
    <w:rsid w:val="00962504"/>
    <w:rsid w:val="0097502F"/>
    <w:rsid w:val="00982C08"/>
    <w:rsid w:val="00985C16"/>
    <w:rsid w:val="00986F99"/>
    <w:rsid w:val="009934FE"/>
    <w:rsid w:val="009A2F9E"/>
    <w:rsid w:val="009A51C1"/>
    <w:rsid w:val="009A5B41"/>
    <w:rsid w:val="009B2502"/>
    <w:rsid w:val="009C3B63"/>
    <w:rsid w:val="009F3A55"/>
    <w:rsid w:val="00A001F9"/>
    <w:rsid w:val="00A02438"/>
    <w:rsid w:val="00A1656D"/>
    <w:rsid w:val="00A23250"/>
    <w:rsid w:val="00A24965"/>
    <w:rsid w:val="00A34DE7"/>
    <w:rsid w:val="00A44770"/>
    <w:rsid w:val="00A77D39"/>
    <w:rsid w:val="00A85101"/>
    <w:rsid w:val="00A868F0"/>
    <w:rsid w:val="00A903CE"/>
    <w:rsid w:val="00A92CE4"/>
    <w:rsid w:val="00AC3FBF"/>
    <w:rsid w:val="00AC6E16"/>
    <w:rsid w:val="00AC7361"/>
    <w:rsid w:val="00AD38C4"/>
    <w:rsid w:val="00AD78C6"/>
    <w:rsid w:val="00AE42DA"/>
    <w:rsid w:val="00AE4C19"/>
    <w:rsid w:val="00AE535B"/>
    <w:rsid w:val="00AF7C22"/>
    <w:rsid w:val="00B01E0C"/>
    <w:rsid w:val="00B0446D"/>
    <w:rsid w:val="00B23C80"/>
    <w:rsid w:val="00B24A02"/>
    <w:rsid w:val="00B27C0E"/>
    <w:rsid w:val="00B31964"/>
    <w:rsid w:val="00B46863"/>
    <w:rsid w:val="00B50D53"/>
    <w:rsid w:val="00B54A0B"/>
    <w:rsid w:val="00B56214"/>
    <w:rsid w:val="00B614A4"/>
    <w:rsid w:val="00B700D7"/>
    <w:rsid w:val="00B712A7"/>
    <w:rsid w:val="00B72238"/>
    <w:rsid w:val="00B862DB"/>
    <w:rsid w:val="00B95D25"/>
    <w:rsid w:val="00BA2863"/>
    <w:rsid w:val="00BB2E22"/>
    <w:rsid w:val="00BB6A95"/>
    <w:rsid w:val="00BC0531"/>
    <w:rsid w:val="00BC5172"/>
    <w:rsid w:val="00BF736E"/>
    <w:rsid w:val="00C0210E"/>
    <w:rsid w:val="00C10AB7"/>
    <w:rsid w:val="00C12593"/>
    <w:rsid w:val="00C16E95"/>
    <w:rsid w:val="00C23C04"/>
    <w:rsid w:val="00C242F2"/>
    <w:rsid w:val="00C36FD4"/>
    <w:rsid w:val="00C40C02"/>
    <w:rsid w:val="00C449EC"/>
    <w:rsid w:val="00C63A41"/>
    <w:rsid w:val="00C65680"/>
    <w:rsid w:val="00C83D0E"/>
    <w:rsid w:val="00C87622"/>
    <w:rsid w:val="00CA50CC"/>
    <w:rsid w:val="00CA696D"/>
    <w:rsid w:val="00CB379A"/>
    <w:rsid w:val="00CC1C96"/>
    <w:rsid w:val="00CF01E6"/>
    <w:rsid w:val="00CF1FE2"/>
    <w:rsid w:val="00D05B67"/>
    <w:rsid w:val="00D155AE"/>
    <w:rsid w:val="00D16C41"/>
    <w:rsid w:val="00D35A9B"/>
    <w:rsid w:val="00D5409B"/>
    <w:rsid w:val="00D56F7B"/>
    <w:rsid w:val="00D57D76"/>
    <w:rsid w:val="00D635C0"/>
    <w:rsid w:val="00D6369A"/>
    <w:rsid w:val="00D8050D"/>
    <w:rsid w:val="00D8081A"/>
    <w:rsid w:val="00D83865"/>
    <w:rsid w:val="00D86E33"/>
    <w:rsid w:val="00D929AA"/>
    <w:rsid w:val="00DA582B"/>
    <w:rsid w:val="00DA6F10"/>
    <w:rsid w:val="00DB45B9"/>
    <w:rsid w:val="00DB56AB"/>
    <w:rsid w:val="00DC02EE"/>
    <w:rsid w:val="00DC3228"/>
    <w:rsid w:val="00DC35A8"/>
    <w:rsid w:val="00DD3E69"/>
    <w:rsid w:val="00DE3907"/>
    <w:rsid w:val="00E257B1"/>
    <w:rsid w:val="00E50500"/>
    <w:rsid w:val="00E53FDC"/>
    <w:rsid w:val="00E6461E"/>
    <w:rsid w:val="00E653CC"/>
    <w:rsid w:val="00E75826"/>
    <w:rsid w:val="00E758B3"/>
    <w:rsid w:val="00E90AB4"/>
    <w:rsid w:val="00EA10C3"/>
    <w:rsid w:val="00EA28A2"/>
    <w:rsid w:val="00EA402A"/>
    <w:rsid w:val="00EA5086"/>
    <w:rsid w:val="00EA5D08"/>
    <w:rsid w:val="00ED543E"/>
    <w:rsid w:val="00EE119F"/>
    <w:rsid w:val="00EE21ED"/>
    <w:rsid w:val="00EF2DDC"/>
    <w:rsid w:val="00F0078E"/>
    <w:rsid w:val="00F02C4D"/>
    <w:rsid w:val="00F04209"/>
    <w:rsid w:val="00F143BD"/>
    <w:rsid w:val="00F333E2"/>
    <w:rsid w:val="00F346C9"/>
    <w:rsid w:val="00F37895"/>
    <w:rsid w:val="00F43667"/>
    <w:rsid w:val="00F44D5D"/>
    <w:rsid w:val="00F53711"/>
    <w:rsid w:val="00F53D72"/>
    <w:rsid w:val="00F672E9"/>
    <w:rsid w:val="00F762D0"/>
    <w:rsid w:val="00F83EB4"/>
    <w:rsid w:val="00F967D7"/>
    <w:rsid w:val="00FA7018"/>
    <w:rsid w:val="00FC5883"/>
    <w:rsid w:val="00FD5A6F"/>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84F0A90"/>
  <w15:docId w15:val="{A8361A05-87F7-4C6A-BF9B-364F0E28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paragraph" w:customStyle="1" w:styleId="xmsonormal">
    <w:name w:val="x_msonormal"/>
    <w:basedOn w:val="Normal"/>
    <w:rsid w:val="00770EDE"/>
    <w:rPr>
      <w:rFonts w:ascii="Calibri" w:eastAsiaTheme="minorHAnsi" w:hAnsi="Calibri" w:cs="Calibri"/>
      <w:sz w:val="22"/>
      <w:szCs w:val="22"/>
    </w:rPr>
  </w:style>
  <w:style w:type="paragraph" w:customStyle="1" w:styleId="xmsolistparagraph">
    <w:name w:val="x_msolistparagraph"/>
    <w:basedOn w:val="Normal"/>
    <w:rsid w:val="00770EDE"/>
    <w:pPr>
      <w:ind w:left="720"/>
    </w:pPr>
    <w:rPr>
      <w:rFonts w:ascii="Calibri" w:eastAsiaTheme="minorHAnsi" w:hAnsi="Calibri" w:cs="Calibri"/>
      <w:sz w:val="22"/>
      <w:szCs w:val="22"/>
    </w:rPr>
  </w:style>
  <w:style w:type="paragraph" w:styleId="ListParagraph">
    <w:name w:val="List Paragraph"/>
    <w:basedOn w:val="Normal"/>
    <w:uiPriority w:val="34"/>
    <w:qFormat/>
    <w:rsid w:val="00EA402A"/>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Style4">
    <w:name w:val="Style4"/>
    <w:basedOn w:val="TableGrid2"/>
    <w:uiPriority w:val="99"/>
    <w:rsid w:val="003A5ED2"/>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3A5ED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3A5E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12DD0"/>
    <w:pPr>
      <w:spacing w:before="100" w:beforeAutospacing="1" w:after="100" w:afterAutospacing="1"/>
    </w:pPr>
    <w:rPr>
      <w:rFonts w:ascii="Calibri" w:eastAsiaTheme="minorHAnsi" w:hAnsi="Calibri" w:cs="Calibri"/>
      <w:sz w:val="22"/>
      <w:szCs w:val="22"/>
    </w:rPr>
  </w:style>
  <w:style w:type="character" w:customStyle="1" w:styleId="ui-provider">
    <w:name w:val="ui-provider"/>
    <w:basedOn w:val="DefaultParagraphFont"/>
    <w:rsid w:val="0006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793251770">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745686413">
      <w:bodyDiv w:val="1"/>
      <w:marLeft w:val="0"/>
      <w:marRight w:val="0"/>
      <w:marTop w:val="0"/>
      <w:marBottom w:val="0"/>
      <w:divBdr>
        <w:top w:val="none" w:sz="0" w:space="0" w:color="auto"/>
        <w:left w:val="none" w:sz="0" w:space="0" w:color="auto"/>
        <w:bottom w:val="none" w:sz="0" w:space="0" w:color="auto"/>
        <w:right w:val="none" w:sz="0" w:space="0" w:color="auto"/>
      </w:divBdr>
    </w:div>
    <w:div w:id="1827015861">
      <w:bodyDiv w:val="1"/>
      <w:marLeft w:val="0"/>
      <w:marRight w:val="0"/>
      <w:marTop w:val="0"/>
      <w:marBottom w:val="0"/>
      <w:divBdr>
        <w:top w:val="none" w:sz="0" w:space="0" w:color="auto"/>
        <w:left w:val="none" w:sz="0" w:space="0" w:color="auto"/>
        <w:bottom w:val="none" w:sz="0" w:space="0" w:color="auto"/>
        <w:right w:val="none" w:sz="0" w:space="0" w:color="auto"/>
      </w:divBdr>
    </w:div>
    <w:div w:id="21118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gov.uk" TargetMode="Externa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publications/multi-agency-public-protection-arrangements-review" TargetMode="Externa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SharedWithUsers>
  </documentManagement>
</p:properties>
</file>

<file path=customXml/itemProps1.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2.xml><?xml version="1.0" encoding="utf-8"?>
<ds:datastoreItem xmlns:ds="http://schemas.openxmlformats.org/officeDocument/2006/customXml" ds:itemID="{F3529F51-7C6A-4D61-928B-C3FE6122A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4.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14</Pages>
  <Words>3871</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15</cp:revision>
  <dcterms:created xsi:type="dcterms:W3CDTF">2023-09-22T12:06:00Z</dcterms:created>
  <dcterms:modified xsi:type="dcterms:W3CDTF">2023-10-23T11:26:00Z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y fmtid="{D5CDD505-2E9C-101B-9397-08002B2CF9AE}" pid="4" name="MSIP_Label_7beefdff-6834-454f-be00-a68b5bc5f471_Enabled">
    <vt:lpwstr>true</vt:lpwstr>
  </property>
  <property fmtid="{D5CDD505-2E9C-101B-9397-08002B2CF9AE}" pid="5" name="MSIP_Label_7beefdff-6834-454f-be00-a68b5bc5f471_SetDate">
    <vt:lpwstr>2022-10-07T10:19:48Z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47d1fbf3-6609-456a-852b-323a6c6105bd</vt:lpwstr>
  </property>
  <property fmtid="{D5CDD505-2E9C-101B-9397-08002B2CF9AE}" pid="10" name="MSIP_Label_7beefdff-6834-454f-be00-a68b5bc5f471_ContentBits">
    <vt:lpwstr>0</vt:lpwstr>
  </property>
</Properties>
</file>