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2DAA8C98" w:rsidR="003C0362" w:rsidRPr="00D5409B" w:rsidRDefault="0046589C" w:rsidP="00D5409B">
      <w:pPr>
        <w:pStyle w:val="Heading1"/>
        <w:rPr>
          <w:rStyle w:val="IntenseReference"/>
          <w:b w:val="0"/>
          <w:bCs w:val="0"/>
          <w:smallCaps w:val="0"/>
          <w:color w:val="7030A0"/>
          <w:spacing w:val="0"/>
        </w:rPr>
      </w:pPr>
      <w:r>
        <w:rPr>
          <w:rStyle w:val="IntenseReference"/>
          <w:b w:val="0"/>
          <w:bCs w:val="0"/>
          <w:smallCaps w:val="0"/>
          <w:color w:val="7030A0"/>
          <w:spacing w:val="0"/>
        </w:rPr>
        <w:t>Cumbria</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headerReference w:type="even" r:id="rId13"/>
          <w:headerReference w:type="default" r:id="rId14"/>
          <w:footerReference w:type="even" r:id="rId15"/>
          <w:footerReference w:type="default" r:id="rId16"/>
          <w:headerReference w:type="first" r:id="rId17"/>
          <w:footerReference w:type="first" r:id="rId18"/>
          <w:pgSz w:w="11905" w:h="16837" w:code="9"/>
          <w:pgMar w:top="720" w:right="720" w:bottom="720" w:left="0" w:header="720" w:footer="567" w:gutter="0"/>
          <w:cols w:space="720"/>
          <w:noEndnote/>
        </w:sectPr>
      </w:pPr>
      <w:r w:rsidRPr="0069414D">
        <w:t>Annual Report</w:t>
      </w: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9"/>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13D6F941" w14:textId="7DCABF48" w:rsidR="00E12646" w:rsidRDefault="00E12646" w:rsidP="00E12646">
      <w:pPr>
        <w:rPr>
          <w:rFonts w:ascii="Arial" w:hAnsi="Arial" w:cs="Arial"/>
        </w:rPr>
      </w:pPr>
      <w:r w:rsidRPr="00E12646">
        <w:rPr>
          <w:rFonts w:ascii="Arial" w:hAnsi="Arial" w:cs="Arial"/>
        </w:rPr>
        <w:t>On 1</w:t>
      </w:r>
      <w:r w:rsidRPr="00E12646">
        <w:rPr>
          <w:rFonts w:ascii="Arial" w:hAnsi="Arial" w:cs="Arial"/>
          <w:vertAlign w:val="superscript"/>
        </w:rPr>
        <w:t>st</w:t>
      </w:r>
      <w:r w:rsidRPr="00E12646">
        <w:rPr>
          <w:rFonts w:ascii="Arial" w:hAnsi="Arial" w:cs="Arial"/>
        </w:rPr>
        <w:t xml:space="preserve"> April 2023 the 6 districts within the County of Cumbria were abolished and replaced by two unitary authorities ‘Cumberland’ and ‘Westmorland &amp; Furness’.  During 2022-23 the MAPPA Strategic Management Board worked to ensure that these changes within Local authorities did not impact adversely on the MAPPA meetings or information sharing between MAPPA agencies.  Although MAPPA agencies such as Children’s Services, Adult Social Care, Youth Offending Teams &amp; Housing authorities saw some historic changes, we have worked together to prepare for this new structure.</w:t>
      </w:r>
    </w:p>
    <w:p w14:paraId="661939B8" w14:textId="77777777" w:rsidR="00E12646" w:rsidRPr="00E12646" w:rsidRDefault="00E12646" w:rsidP="00E12646">
      <w:pPr>
        <w:rPr>
          <w:rFonts w:ascii="Arial" w:hAnsi="Arial" w:cs="Arial"/>
        </w:rPr>
      </w:pPr>
    </w:p>
    <w:p w14:paraId="3924E950" w14:textId="77777777" w:rsidR="00E12646" w:rsidRPr="00E12646" w:rsidRDefault="00E12646" w:rsidP="00E12646">
      <w:pPr>
        <w:rPr>
          <w:rFonts w:ascii="Arial" w:hAnsi="Arial" w:cs="Arial"/>
        </w:rPr>
      </w:pPr>
      <w:r w:rsidRPr="00E12646">
        <w:rPr>
          <w:rFonts w:ascii="Arial" w:hAnsi="Arial" w:cs="Arial"/>
        </w:rPr>
        <w:t xml:space="preserve">MAPPA processes, within Cumbria, benefit from an extraordinary level of willing participation from all the statutory multi-agency partners and there is an understanding that public protection is the responsibility of all concerned. This level of commitment, within our County, has been the case since the initiation of MAPPA as enacted by the Criminal Justice Act of 2003. </w:t>
      </w:r>
    </w:p>
    <w:p w14:paraId="58176C77" w14:textId="70C83EC1" w:rsidR="00E12646" w:rsidRDefault="00E12646" w:rsidP="00E12646">
      <w:pPr>
        <w:rPr>
          <w:rFonts w:ascii="Arial" w:hAnsi="Arial" w:cs="Arial"/>
        </w:rPr>
      </w:pPr>
      <w:r w:rsidRPr="00E12646">
        <w:rPr>
          <w:rFonts w:ascii="Arial" w:hAnsi="Arial" w:cs="Arial"/>
        </w:rPr>
        <w:t>Members of the Cumbria MAPPA Strategic Management Board (SMB) and all professionals involved in the MAPPA processes have been determined that we would continue to work together to reduce the re-offending of sexual offenders and violent offenders whilst these changes took place.</w:t>
      </w:r>
    </w:p>
    <w:p w14:paraId="4D1C5611" w14:textId="77777777" w:rsidR="00E12646" w:rsidRPr="00E12646" w:rsidRDefault="00E12646" w:rsidP="00E12646">
      <w:pPr>
        <w:rPr>
          <w:rFonts w:ascii="Arial" w:hAnsi="Arial" w:cs="Arial"/>
        </w:rPr>
      </w:pPr>
    </w:p>
    <w:p w14:paraId="15A8F93C" w14:textId="531EB001" w:rsidR="00E12646" w:rsidRDefault="00E12646" w:rsidP="00E12646">
      <w:pPr>
        <w:rPr>
          <w:rFonts w:ascii="Arial" w:hAnsi="Arial" w:cs="Arial"/>
        </w:rPr>
      </w:pPr>
      <w:r w:rsidRPr="00E12646">
        <w:rPr>
          <w:rFonts w:ascii="Arial" w:hAnsi="Arial" w:cs="Arial"/>
        </w:rPr>
        <w:t>The continued use of technology, such as Microsoft TEAMS, within the MAPPA meetings has also enabled agencies from all around Cumbria &amp; Nationally to engage with the MAPPA process and contribute fully to the management of Sexual &amp; Violent offenders within Cumbria.</w:t>
      </w:r>
    </w:p>
    <w:p w14:paraId="5B52EA6E" w14:textId="77777777" w:rsidR="00E12646" w:rsidRPr="00E12646" w:rsidRDefault="00E12646" w:rsidP="00E12646">
      <w:pPr>
        <w:rPr>
          <w:rFonts w:ascii="Arial" w:hAnsi="Arial" w:cs="Arial"/>
        </w:rPr>
      </w:pPr>
    </w:p>
    <w:p w14:paraId="0E6E2AC6" w14:textId="16F87686" w:rsidR="00E12646" w:rsidRDefault="00E12646" w:rsidP="00E12646">
      <w:pPr>
        <w:rPr>
          <w:rFonts w:ascii="Arial" w:hAnsi="Arial" w:cs="Arial"/>
        </w:rPr>
      </w:pPr>
      <w:r w:rsidRPr="00E12646">
        <w:rPr>
          <w:rFonts w:ascii="Arial" w:hAnsi="Arial" w:cs="Arial"/>
        </w:rPr>
        <w:t>We have continued to offer MAPPA training to agencies who support the MAPPA process. Technology has been used to reach staff who would not ordinarily have been able to access this training. Face-to-face training has also been utilised now that COVID restrictions have been lifted. MAPPA meeting chairs from Probation and Police, plus staff from the NHS have been supported further in their roles within MAPPA by providing bespoke training.</w:t>
      </w:r>
    </w:p>
    <w:p w14:paraId="54E7B01F" w14:textId="77777777" w:rsidR="00E12646" w:rsidRPr="00E12646" w:rsidRDefault="00E12646" w:rsidP="00E12646">
      <w:pPr>
        <w:rPr>
          <w:rFonts w:ascii="Arial" w:hAnsi="Arial" w:cs="Arial"/>
        </w:rPr>
      </w:pPr>
    </w:p>
    <w:p w14:paraId="336B9558" w14:textId="77777777" w:rsidR="00E12646" w:rsidRPr="00E12646" w:rsidRDefault="00E12646" w:rsidP="00E12646">
      <w:pPr>
        <w:rPr>
          <w:rFonts w:ascii="Arial" w:hAnsi="Arial" w:cs="Arial"/>
        </w:rPr>
      </w:pPr>
      <w:r w:rsidRPr="00E12646">
        <w:rPr>
          <w:rFonts w:ascii="Arial" w:hAnsi="Arial" w:cs="Arial"/>
        </w:rPr>
        <w:t>Improvements have also been made to the MAPPA referral process enabling a multi-agency approach to decision making.  This enables us to ensure that resources are focussed on public protection, as this remains the key priority for us all within MAPPA and that will continue.</w:t>
      </w:r>
    </w:p>
    <w:p w14:paraId="414D1946" w14:textId="575C6D00" w:rsidR="00E12646" w:rsidRDefault="00E12646" w:rsidP="00E12646">
      <w:pPr>
        <w:rPr>
          <w:rFonts w:ascii="Arial" w:hAnsi="Arial" w:cs="Arial"/>
        </w:rPr>
      </w:pPr>
      <w:r w:rsidRPr="00E12646">
        <w:rPr>
          <w:rFonts w:ascii="Arial" w:hAnsi="Arial" w:cs="Arial"/>
        </w:rPr>
        <w:t xml:space="preserve">2023 has seen the introduction of the Cumbria MAPPA Continuous Improvement Group, which has been put in place to ensure we have a focused mechanism for driving operational improvements through the partnership in our work around MAPPA.  We look forward to embedding this approach through the next year.  </w:t>
      </w:r>
    </w:p>
    <w:p w14:paraId="0FCE8DBE" w14:textId="77777777" w:rsidR="00E12646" w:rsidRPr="00E12646" w:rsidRDefault="00E12646" w:rsidP="00E12646">
      <w:pPr>
        <w:rPr>
          <w:rFonts w:ascii="Arial" w:hAnsi="Arial" w:cs="Arial"/>
        </w:rPr>
      </w:pPr>
    </w:p>
    <w:p w14:paraId="45CF7722" w14:textId="77777777" w:rsidR="00E12646" w:rsidRPr="00E12646" w:rsidRDefault="00E12646" w:rsidP="00E12646">
      <w:pPr>
        <w:rPr>
          <w:rFonts w:ascii="Arial" w:hAnsi="Arial" w:cs="Arial"/>
        </w:rPr>
      </w:pPr>
      <w:r w:rsidRPr="00E12646">
        <w:rPr>
          <w:rFonts w:ascii="Arial" w:hAnsi="Arial" w:cs="Arial"/>
        </w:rPr>
        <w:t xml:space="preserve">I remain very proud of the work undertaken through MAPPA in Cumbria and I’ve been impressed at how the partnership has responded to dealing with increased referral volumes to ensure that public protection is delivered without exception.  I look forward to overseeing continuing developments over the next 12 months.    </w:t>
      </w:r>
    </w:p>
    <w:p w14:paraId="431A31FC" w14:textId="77777777" w:rsidR="00E12646" w:rsidRPr="00E12646" w:rsidRDefault="00E12646" w:rsidP="00E12646">
      <w:pPr>
        <w:rPr>
          <w:rFonts w:ascii="Arial" w:hAnsi="Arial" w:cs="Arial"/>
        </w:rPr>
      </w:pPr>
    </w:p>
    <w:p w14:paraId="5EFC7A32" w14:textId="77777777" w:rsidR="00E12646" w:rsidRPr="00E12646" w:rsidRDefault="00E12646" w:rsidP="00E12646">
      <w:pPr>
        <w:rPr>
          <w:rFonts w:ascii="Arial" w:hAnsi="Arial" w:cs="Arial"/>
        </w:rPr>
      </w:pPr>
      <w:r w:rsidRPr="00E12646">
        <w:rPr>
          <w:rFonts w:ascii="Arial" w:hAnsi="Arial" w:cs="Arial"/>
        </w:rPr>
        <w:t>Lisa Lloyd</w:t>
      </w:r>
    </w:p>
    <w:p w14:paraId="16E8AE5A" w14:textId="77777777" w:rsidR="00E12646" w:rsidRPr="00E12646" w:rsidRDefault="00E12646" w:rsidP="00E12646">
      <w:pPr>
        <w:rPr>
          <w:rFonts w:ascii="Arial" w:hAnsi="Arial" w:cs="Arial"/>
        </w:rPr>
      </w:pPr>
      <w:r w:rsidRPr="00E12646">
        <w:rPr>
          <w:rFonts w:ascii="Arial" w:hAnsi="Arial" w:cs="Arial"/>
        </w:rPr>
        <w:t xml:space="preserve">Head of Probation Delivery Unit - Cumbria </w:t>
      </w:r>
    </w:p>
    <w:p w14:paraId="77757288" w14:textId="4C360C12" w:rsidR="00E12646" w:rsidRPr="00E12646" w:rsidRDefault="00AF0ACA" w:rsidP="00E12646">
      <w:pPr>
        <w:rPr>
          <w:rFonts w:ascii="Arial" w:hAnsi="Arial" w:cs="Arial"/>
        </w:rPr>
      </w:pPr>
      <w:r w:rsidRPr="00E12646">
        <w:rPr>
          <w:rFonts w:ascii="Arial" w:hAnsi="Arial" w:cs="Arial"/>
        </w:rPr>
        <w:t>Northwest</w:t>
      </w:r>
      <w:r w:rsidR="00E12646" w:rsidRPr="00E12646">
        <w:rPr>
          <w:rFonts w:ascii="Arial" w:hAnsi="Arial" w:cs="Arial"/>
        </w:rPr>
        <w:t xml:space="preserve"> Probation Service</w:t>
      </w:r>
    </w:p>
    <w:p w14:paraId="6B47882B" w14:textId="77777777" w:rsidR="00332EE6" w:rsidRPr="006A45B8" w:rsidRDefault="00332EE6" w:rsidP="00332EE6">
      <w:pPr>
        <w:pStyle w:val="MAPPA-Bodytext"/>
        <w:rPr>
          <w:lang w:val="en-GB"/>
        </w:rPr>
      </w:pPr>
      <w:r w:rsidRPr="006A45B8">
        <w:rPr>
          <w:lang w:val="en-GB"/>
        </w:rPr>
        <w:br w:type="column"/>
      </w:r>
    </w:p>
    <w:p w14:paraId="433255E2" w14:textId="3A0563B7" w:rsidR="00332EE6" w:rsidRPr="0069414D" w:rsidRDefault="00332EE6" w:rsidP="008D1CDE">
      <w:pPr>
        <w:pStyle w:val="Heading1"/>
        <w:jc w:val="left"/>
      </w:pPr>
      <w:r w:rsidRPr="0069414D">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w:t>
      </w:r>
      <w:r w:rsidRPr="00206B09">
        <w:rPr>
          <w:sz w:val="24"/>
          <w:szCs w:val="24"/>
          <w:lang w:val="en-GB"/>
        </w:rPr>
        <w:t>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lastRenderedPageBreak/>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20"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w:t>
      </w:r>
      <w:r w:rsidR="00507932" w:rsidRPr="00206B09">
        <w:rPr>
          <w:sz w:val="24"/>
          <w:szCs w:val="24"/>
          <w:lang w:val="en-GB"/>
        </w:rPr>
        <w:t xml:space="preserve">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21"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2"/>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7D19309E"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624</w:t>
            </w:r>
          </w:p>
        </w:tc>
        <w:tc>
          <w:tcPr>
            <w:tcW w:w="2186" w:type="dxa"/>
          </w:tcPr>
          <w:p w14:paraId="1638E0FC" w14:textId="4E31BC5F"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132</w:t>
            </w:r>
          </w:p>
        </w:tc>
        <w:tc>
          <w:tcPr>
            <w:tcW w:w="2186" w:type="dxa"/>
          </w:tcPr>
          <w:p w14:paraId="1F1BCFAF" w14:textId="6514620D"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3708ACC2"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756</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4A6B2279"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10F8D0CE" w14:textId="6C34A38B"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346F3891" w14:textId="5A0268E2"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29D9E254" w14:textId="7E9723BD"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0B1651C1"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6751848" w14:textId="6A9188A9"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314FEE" w14:textId="297E8FFA"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FD44C20" w14:textId="47FDBB23"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15AF5DB7"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629</w:t>
            </w:r>
          </w:p>
        </w:tc>
        <w:tc>
          <w:tcPr>
            <w:tcW w:w="2186" w:type="dxa"/>
          </w:tcPr>
          <w:p w14:paraId="4B320A3C" w14:textId="169EF108"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134</w:t>
            </w:r>
          </w:p>
        </w:tc>
        <w:tc>
          <w:tcPr>
            <w:tcW w:w="2186" w:type="dxa"/>
          </w:tcPr>
          <w:p w14:paraId="59BF82DA" w14:textId="7766368B"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230BC3FB" w14:textId="7F2BA249" w:rsidR="006F27F5"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771</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62D85163"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w:t>
            </w:r>
          </w:p>
        </w:tc>
        <w:tc>
          <w:tcPr>
            <w:tcW w:w="2186" w:type="dxa"/>
          </w:tcPr>
          <w:p w14:paraId="231D96FE" w14:textId="46FE58E4"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413645CC" w14:textId="26A50895"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5A206D70" w14:textId="1F23ADE6"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28</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1FB724AC"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4AF1F0B4" w14:textId="3A220A9F"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3EABFC56" w14:textId="2447093B"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66FC4C00" w14:textId="79F4FD80"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2B71AF23"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w:t>
            </w:r>
          </w:p>
        </w:tc>
        <w:tc>
          <w:tcPr>
            <w:tcW w:w="2186" w:type="dxa"/>
          </w:tcPr>
          <w:p w14:paraId="5D543B3B" w14:textId="4358A0EA"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03713ACD" w14:textId="4E22932E"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13</w:t>
            </w:r>
          </w:p>
        </w:tc>
        <w:tc>
          <w:tcPr>
            <w:tcW w:w="2186" w:type="dxa"/>
          </w:tcPr>
          <w:p w14:paraId="29E98152" w14:textId="6C65016F" w:rsidR="00AA3E8E" w:rsidRPr="00523CF4" w:rsidRDefault="0046589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30</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5BD7EFD7" w:rsidR="00332EE6"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16</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0618EAB8" w:rsidR="00332EE6"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4</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3622D277" w:rsidR="00A231D9" w:rsidRPr="00523CF4" w:rsidRDefault="0046589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65</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70F0E3F0" w:rsidR="00A231D9" w:rsidRPr="00523CF4" w:rsidRDefault="0046589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64655DAE" w:rsidR="00A231D9" w:rsidRPr="00523CF4" w:rsidRDefault="0046589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1FC7C0D8" w:rsidR="00332EE6" w:rsidRPr="00523CF4"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64BFE535" w14:textId="77777777" w:rsidR="00595C55" w:rsidRDefault="00595C55" w:rsidP="00595C55"/>
    <w:p w14:paraId="5758A656" w14:textId="77777777" w:rsidR="0046589C" w:rsidRDefault="0046589C" w:rsidP="00281FCC">
      <w:pPr>
        <w:pStyle w:val="Style2"/>
      </w:pPr>
    </w:p>
    <w:p w14:paraId="27384F73" w14:textId="77777777" w:rsidR="0046589C" w:rsidRDefault="0046589C" w:rsidP="00281FCC">
      <w:pPr>
        <w:pStyle w:val="Style2"/>
      </w:pPr>
    </w:p>
    <w:p w14:paraId="78E4FAD4" w14:textId="7EF20F0D"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364CADA5" w:rsidR="00AA3E8E" w:rsidRPr="00523CF4" w:rsidRDefault="0046589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34F9E68F" w14:textId="0151CDB2" w:rsidR="00AA3E8E" w:rsidRPr="00523CF4" w:rsidRDefault="0046589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720ECB5F" w14:textId="693AD388" w:rsidR="00AA3E8E" w:rsidRPr="00523CF4" w:rsidRDefault="0046589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5DAD1685" w:rsidR="00AA3E8E" w:rsidRPr="00523CF4" w:rsidRDefault="0046589C" w:rsidP="00B06F75">
            <w:pPr>
              <w:pStyle w:val="MAPPA-Tabletext"/>
              <w:jc w:val="right"/>
              <w:rPr>
                <w:b w:val="0"/>
                <w:bCs w:val="0"/>
                <w:sz w:val="24"/>
                <w:szCs w:val="24"/>
                <w:lang w:val="en-GB"/>
              </w:rPr>
            </w:pPr>
            <w:r>
              <w:rPr>
                <w:b w:val="0"/>
                <w:bCs w:val="0"/>
                <w:sz w:val="24"/>
                <w:szCs w:val="24"/>
                <w:lang w:val="en-GB"/>
              </w:rPr>
              <w:t>11</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3</w:t>
            </w:r>
          </w:p>
        </w:tc>
        <w:tc>
          <w:tcPr>
            <w:tcW w:w="2185" w:type="dxa"/>
          </w:tcPr>
          <w:p w14:paraId="19A6985D" w14:textId="36AE55A1" w:rsidR="00AA3E8E" w:rsidRPr="00523CF4" w:rsidRDefault="0046589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72FF4F7" w14:textId="3A4CCCDA" w:rsidR="00AA3E8E" w:rsidRPr="00523CF4" w:rsidRDefault="0046589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D55EA6" w14:textId="10D20444" w:rsidR="00AA3E8E" w:rsidRPr="00523CF4" w:rsidRDefault="0046589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5E534EA7" w:rsidR="00AA3E8E" w:rsidRPr="00523CF4" w:rsidRDefault="0046589C" w:rsidP="00B06F75">
            <w:pPr>
              <w:pStyle w:val="MAPPA-Tabletext"/>
              <w:jc w:val="right"/>
              <w:rPr>
                <w:b w:val="0"/>
                <w:bCs w:val="0"/>
                <w:sz w:val="24"/>
                <w:szCs w:val="24"/>
                <w:lang w:val="en-GB"/>
              </w:rPr>
            </w:pPr>
            <w:r>
              <w:rPr>
                <w:b w:val="0"/>
                <w:bCs w:val="0"/>
                <w:sz w:val="24"/>
                <w:szCs w:val="24"/>
                <w:lang w:val="en-GB"/>
              </w:rPr>
              <w:t>0</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5917CE4A" w:rsidR="00AA3E8E" w:rsidRPr="00523CF4" w:rsidRDefault="0046589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6</w:t>
            </w:r>
          </w:p>
        </w:tc>
        <w:tc>
          <w:tcPr>
            <w:tcW w:w="2186" w:type="dxa"/>
          </w:tcPr>
          <w:p w14:paraId="184256C5" w14:textId="2F5BA0F6" w:rsidR="00AA3E8E" w:rsidRPr="00523CF4" w:rsidRDefault="0046589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4</w:t>
            </w:r>
          </w:p>
        </w:tc>
        <w:tc>
          <w:tcPr>
            <w:tcW w:w="2186" w:type="dxa"/>
          </w:tcPr>
          <w:p w14:paraId="44078787" w14:textId="63FA61D8" w:rsidR="00AA3E8E" w:rsidRPr="00523CF4" w:rsidRDefault="0046589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6A4B1AE2" w:rsidR="00AA3E8E" w:rsidRPr="00523CF4" w:rsidRDefault="0046589C" w:rsidP="00B06F75">
            <w:pPr>
              <w:pStyle w:val="MAPPA-Tabletext"/>
              <w:jc w:val="right"/>
              <w:rPr>
                <w:b w:val="0"/>
                <w:bCs w:val="0"/>
                <w:sz w:val="24"/>
                <w:szCs w:val="24"/>
                <w:lang w:val="en-GB"/>
              </w:rPr>
            </w:pPr>
            <w:r>
              <w:rPr>
                <w:b w:val="0"/>
                <w:bCs w:val="0"/>
                <w:sz w:val="24"/>
                <w:szCs w:val="24"/>
                <w:lang w:val="en-GB"/>
              </w:rPr>
              <w:t>11</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5445D8A9" w:rsidR="00FA3513" w:rsidRPr="00523CF4" w:rsidRDefault="0046589C" w:rsidP="00316362">
            <w:pPr>
              <w:pStyle w:val="MAPPA-Tabletext"/>
              <w:jc w:val="right"/>
              <w:rPr>
                <w:b w:val="0"/>
                <w:bCs w:val="0"/>
                <w:sz w:val="24"/>
                <w:szCs w:val="24"/>
                <w:lang w:val="en-GB"/>
              </w:rPr>
            </w:pPr>
            <w:r>
              <w:rPr>
                <w:b w:val="0"/>
                <w:bCs w:val="0"/>
                <w:sz w:val="24"/>
                <w:szCs w:val="24"/>
                <w:lang w:val="en-GB"/>
              </w:rPr>
              <w:t>2</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1695BE43" w:rsidR="00FA3513" w:rsidRPr="00523CF4" w:rsidRDefault="0046589C"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09B0D547" w:rsidR="00FA3513" w:rsidRPr="00523CF4" w:rsidRDefault="0046589C" w:rsidP="00316362">
            <w:pPr>
              <w:pStyle w:val="MAPPA-Tabletext"/>
              <w:jc w:val="right"/>
              <w:rPr>
                <w:b w:val="0"/>
                <w:bCs w:val="0"/>
                <w:sz w:val="24"/>
                <w:szCs w:val="24"/>
                <w:lang w:val="en-GB"/>
              </w:rPr>
            </w:pPr>
            <w:r>
              <w:rPr>
                <w:b w:val="0"/>
                <w:bCs w:val="0"/>
                <w:sz w:val="24"/>
                <w:szCs w:val="24"/>
                <w:lang w:val="en-GB"/>
              </w:rPr>
              <w:t>2</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515455ED" w:rsidR="00332EE6" w:rsidRPr="004265C9" w:rsidRDefault="0046589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139</w:t>
            </w:r>
          </w:p>
        </w:tc>
      </w:tr>
    </w:tbl>
    <w:p w14:paraId="07E10B6F" w14:textId="77777777" w:rsidR="00332EE6" w:rsidRPr="001F3FB5" w:rsidRDefault="00332EE6" w:rsidP="00332EE6">
      <w:pPr>
        <w:rPr>
          <w:rFonts w:ascii="Arial" w:hAnsi="Arial" w:cs="Arial"/>
          <w:sz w:val="20"/>
          <w:szCs w:val="20"/>
        </w:rPr>
      </w:pPr>
    </w:p>
    <w:p w14:paraId="165A14DF" w14:textId="77777777" w:rsidR="0065057B" w:rsidRDefault="0065057B" w:rsidP="0065057B">
      <w:pPr>
        <w:rPr>
          <w:rFonts w:ascii="Arial" w:hAnsi="Arial" w:cs="Arial"/>
          <w:sz w:val="20"/>
          <w:szCs w:val="20"/>
        </w:rPr>
      </w:pPr>
      <w:r>
        <w:rPr>
          <w:rFonts w:ascii="Arial" w:hAnsi="Arial" w:cs="Arial"/>
          <w:sz w:val="20"/>
          <w:szCs w:val="20"/>
        </w:rPr>
        <w:t xml:space="preserve">This figure has been calculated using the mid-2021 estimated resident population, published by the Office for National Statistics (ONS) on 21 December 2022, excluding those aged less than ten years of age. </w:t>
      </w:r>
    </w:p>
    <w:p w14:paraId="18DF6CC1" w14:textId="77777777" w:rsidR="0065057B" w:rsidRDefault="0065057B" w:rsidP="0065057B">
      <w:pPr>
        <w:rPr>
          <w:rFonts w:ascii="Arial" w:hAnsi="Arial" w:cs="Arial"/>
          <w:sz w:val="20"/>
          <w:szCs w:val="20"/>
        </w:rPr>
      </w:pPr>
    </w:p>
    <w:p w14:paraId="4E5BF55D" w14:textId="77777777" w:rsidR="0065057B" w:rsidRDefault="0065057B" w:rsidP="0065057B">
      <w:pPr>
        <w:rPr>
          <w:rFonts w:ascii="Arial" w:hAnsi="Arial" w:cs="Arial"/>
          <w:sz w:val="20"/>
          <w:szCs w:val="20"/>
        </w:rPr>
      </w:pPr>
      <w:r>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3"/>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w:t>
      </w:r>
      <w:r w:rsidR="00786A3A" w:rsidRPr="00B510E5">
        <w:rPr>
          <w:sz w:val="24"/>
          <w:szCs w:val="24"/>
          <w:lang w:val="en-GB"/>
        </w:rPr>
        <w:t xml:space="preserve">are assessed and managed by the Probation 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w:t>
      </w:r>
      <w:proofErr w:type="spellStart"/>
      <w:r w:rsidR="000F355B" w:rsidRPr="00B510E5">
        <w:rPr>
          <w:rStyle w:val="Style3Char"/>
          <w:sz w:val="24"/>
          <w:szCs w:val="24"/>
        </w:rPr>
        <w:t>L</w:t>
      </w:r>
      <w:r w:rsidRPr="00B510E5">
        <w:rPr>
          <w:rStyle w:val="Style3Char"/>
          <w:sz w:val="24"/>
          <w:szCs w:val="24"/>
        </w:rPr>
        <w:t>icence</w:t>
      </w:r>
      <w:proofErr w:type="spellEnd"/>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w:t>
      </w:r>
      <w:r w:rsidRPr="00B510E5">
        <w:rPr>
          <w:sz w:val="24"/>
          <w:szCs w:val="24"/>
          <w:lang w:val="en-GB"/>
        </w:rPr>
        <w:lastRenderedPageBreak/>
        <w:t xml:space="preserve">protect the public from </w:t>
      </w:r>
      <w:r w:rsidR="008D26FC">
        <w:rPr>
          <w:sz w:val="24"/>
          <w:szCs w:val="24"/>
          <w:lang w:val="en-GB"/>
        </w:rPr>
        <w:t>individuals</w:t>
      </w:r>
      <w:r w:rsidRPr="00B510E5">
        <w:rPr>
          <w:sz w:val="24"/>
          <w:szCs w:val="24"/>
          <w:lang w:val="en-GB"/>
        </w:rPr>
        <w:t xml:space="preserve"> convicted of a sexual or violent offence who pose a risk 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proofErr w:type="spellStart"/>
      <w:r w:rsidR="005F4133">
        <w:rPr>
          <w:sz w:val="24"/>
          <w:szCs w:val="24"/>
        </w:rPr>
        <w:t>i</w:t>
      </w:r>
      <w:proofErr w:type="spellEnd"/>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The Sexual Risk Order (SRO) replaced the Risk of Sexual Harm Order (</w:t>
      </w:r>
      <w:proofErr w:type="spellStart"/>
      <w:r w:rsidRPr="00B510E5">
        <w:rPr>
          <w:b w:val="0"/>
          <w:bCs/>
          <w:color w:val="auto"/>
          <w:sz w:val="24"/>
          <w:szCs w:val="24"/>
        </w:rPr>
        <w:t>RoSHO</w:t>
      </w:r>
      <w:proofErr w:type="spellEnd"/>
      <w:r w:rsidRPr="00B510E5">
        <w:rPr>
          <w:b w:val="0"/>
          <w:bCs/>
          <w:color w:val="auto"/>
          <w:sz w:val="24"/>
          <w:szCs w:val="24"/>
        </w:rPr>
        <w:t xml:space="preserve">)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 xml:space="preserve">an act of a sexual nature and the court is satisfied that the person poses a risk of harm </w:t>
      </w:r>
      <w:r w:rsidRPr="00B510E5">
        <w:rPr>
          <w:rFonts w:ascii="Arial" w:hAnsi="Arial" w:cs="Arial"/>
        </w:rPr>
        <w:t>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lastRenderedPageBreak/>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3E511D06" w14:textId="77777777" w:rsidR="00332EE6" w:rsidRPr="00B510E5" w:rsidRDefault="00332EE6" w:rsidP="00B510E5">
      <w:pPr>
        <w:pStyle w:val="MAPPA-Bodytext"/>
        <w:rPr>
          <w:sz w:val="24"/>
          <w:szCs w:val="24"/>
          <w:lang w:val="en-GB"/>
        </w:rPr>
      </w:pPr>
    </w:p>
    <w:p w14:paraId="7E9ED5F4" w14:textId="77777777" w:rsidR="00332EE6" w:rsidRPr="00B01E0C" w:rsidRDefault="00332EE6" w:rsidP="00332EE6">
      <w:pPr>
        <w:pStyle w:val="MAPPA-Bodytext"/>
        <w:rPr>
          <w:szCs w:val="28"/>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7777777" w:rsidR="00332EE6" w:rsidRPr="0069414D" w:rsidRDefault="00332EE6" w:rsidP="00296A85">
      <w:pPr>
        <w:pStyle w:val="Heading1"/>
        <w:jc w:val="left"/>
      </w:pPr>
      <w:r w:rsidRPr="0069414D">
        <w:lastRenderedPageBreak/>
        <w:t>Local page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4"/>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535C0FFA" w14:textId="7F1A49E1" w:rsidR="00E12646" w:rsidRDefault="00E12646" w:rsidP="00E12646">
      <w:pPr>
        <w:rPr>
          <w:rFonts w:ascii="Arial" w:hAnsi="Arial" w:cs="Arial"/>
        </w:rPr>
      </w:pPr>
      <w:r w:rsidRPr="00E12646">
        <w:rPr>
          <w:rFonts w:ascii="Arial" w:hAnsi="Arial" w:cs="Arial"/>
        </w:rPr>
        <w:t xml:space="preserve">After serving the maximum tenure of seven years as a MAPPA Lay Advisor, both myself </w:t>
      </w:r>
      <w:r w:rsidR="00AF0ACA">
        <w:rPr>
          <w:rFonts w:ascii="Arial" w:hAnsi="Arial" w:cs="Arial"/>
        </w:rPr>
        <w:t xml:space="preserve">(David) </w:t>
      </w:r>
      <w:r w:rsidRPr="00E12646">
        <w:rPr>
          <w:rFonts w:ascii="Arial" w:hAnsi="Arial" w:cs="Arial"/>
        </w:rPr>
        <w:t>and my fellow advisor, Mark, are now signing off from our role on the Cumbria MAPPA Strategic Management Board.</w:t>
      </w:r>
    </w:p>
    <w:p w14:paraId="51070EC5" w14:textId="77777777" w:rsidR="00E12646" w:rsidRPr="00E12646" w:rsidRDefault="00E12646" w:rsidP="00E12646">
      <w:pPr>
        <w:rPr>
          <w:rFonts w:ascii="Arial" w:hAnsi="Arial" w:cs="Arial"/>
        </w:rPr>
      </w:pPr>
    </w:p>
    <w:p w14:paraId="0DDDD472" w14:textId="16CE6F0A" w:rsidR="00E12646" w:rsidRDefault="00E12646" w:rsidP="00E12646">
      <w:pPr>
        <w:rPr>
          <w:rFonts w:ascii="Arial" w:hAnsi="Arial" w:cs="Arial"/>
        </w:rPr>
      </w:pPr>
      <w:r w:rsidRPr="00E12646">
        <w:rPr>
          <w:rFonts w:ascii="Arial" w:hAnsi="Arial" w:cs="Arial"/>
        </w:rPr>
        <w:t xml:space="preserve">MAPPA manages </w:t>
      </w:r>
      <w:r w:rsidRPr="00E12646">
        <w:rPr>
          <w:rFonts w:ascii="Arial" w:hAnsi="Arial" w:cs="Arial"/>
          <w:color w:val="2F3235"/>
          <w:shd w:val="clear" w:color="auto" w:fill="FFFFFF"/>
        </w:rPr>
        <w:t>sexual, violent, and dangerous offenders whilst in custody and once they are in the community, including registered sex offenders.</w:t>
      </w:r>
      <w:r w:rsidRPr="00E12646">
        <w:rPr>
          <w:rFonts w:ascii="Arial" w:hAnsi="Arial" w:cs="Arial"/>
        </w:rPr>
        <w:t xml:space="preserve"> </w:t>
      </w:r>
    </w:p>
    <w:p w14:paraId="08869373" w14:textId="77777777" w:rsidR="00E12646" w:rsidRPr="00E12646" w:rsidRDefault="00E12646" w:rsidP="00E12646">
      <w:pPr>
        <w:rPr>
          <w:rFonts w:ascii="Arial" w:hAnsi="Arial" w:cs="Arial"/>
        </w:rPr>
      </w:pPr>
    </w:p>
    <w:p w14:paraId="122BDF1A" w14:textId="2DD35AD3" w:rsidR="00E12646" w:rsidRDefault="00E12646" w:rsidP="00E12646">
      <w:pPr>
        <w:rPr>
          <w:rFonts w:ascii="Arial" w:hAnsi="Arial" w:cs="Arial"/>
        </w:rPr>
      </w:pPr>
      <w:r w:rsidRPr="00E12646">
        <w:rPr>
          <w:rFonts w:ascii="Arial" w:hAnsi="Arial" w:cs="Arial"/>
        </w:rPr>
        <w:t xml:space="preserve">We are both honoured to have offered our expertise to undertake such an interesting role and work with a wide range of dedicated professionals who work with the prime aim to keep the residents of Cumbria safe. </w:t>
      </w:r>
    </w:p>
    <w:p w14:paraId="20502566" w14:textId="77777777" w:rsidR="00E12646" w:rsidRPr="00E12646" w:rsidRDefault="00E12646" w:rsidP="00E12646">
      <w:pPr>
        <w:rPr>
          <w:rFonts w:ascii="Arial" w:hAnsi="Arial" w:cs="Arial"/>
        </w:rPr>
      </w:pPr>
    </w:p>
    <w:p w14:paraId="381A9913" w14:textId="12F5F13B" w:rsidR="00E12646" w:rsidRDefault="00E12646" w:rsidP="00E12646">
      <w:pPr>
        <w:rPr>
          <w:rFonts w:ascii="Arial" w:hAnsi="Arial" w:cs="Arial"/>
        </w:rPr>
      </w:pPr>
      <w:r w:rsidRPr="00E12646">
        <w:rPr>
          <w:rFonts w:ascii="Arial" w:hAnsi="Arial" w:cs="Arial"/>
          <w:color w:val="2F3235"/>
          <w:shd w:val="clear" w:color="auto" w:fill="FFFFFF"/>
        </w:rPr>
        <w:t xml:space="preserve">Our role has involved participating in Board </w:t>
      </w:r>
      <w:r w:rsidR="00AF0ACA" w:rsidRPr="00E12646">
        <w:rPr>
          <w:rFonts w:ascii="Arial" w:hAnsi="Arial" w:cs="Arial"/>
          <w:color w:val="2F3235"/>
          <w:shd w:val="clear" w:color="auto" w:fill="FFFFFF"/>
        </w:rPr>
        <w:t>meetings and</w:t>
      </w:r>
      <w:r w:rsidRPr="00E12646">
        <w:rPr>
          <w:rFonts w:ascii="Arial" w:hAnsi="Arial" w:cs="Arial"/>
          <w:color w:val="2F3235"/>
          <w:shd w:val="clear" w:color="auto" w:fill="FFFFFF"/>
        </w:rPr>
        <w:t xml:space="preserve"> attending a range of meetings where decisions are made in relation to the monitoring of violent and sexual offenders in the community.</w:t>
      </w:r>
      <w:r w:rsidRPr="00E12646">
        <w:rPr>
          <w:rFonts w:ascii="Arial" w:hAnsi="Arial" w:cs="Arial"/>
        </w:rPr>
        <w:t xml:space="preserve"> </w:t>
      </w:r>
    </w:p>
    <w:p w14:paraId="4372CF3D" w14:textId="77777777" w:rsidR="00E12646" w:rsidRPr="00E12646" w:rsidRDefault="00E12646" w:rsidP="00E12646">
      <w:pPr>
        <w:rPr>
          <w:rFonts w:ascii="Arial" w:hAnsi="Arial" w:cs="Arial"/>
        </w:rPr>
      </w:pPr>
    </w:p>
    <w:p w14:paraId="6F6F4351" w14:textId="6C6E95D2" w:rsidR="00E12646" w:rsidRDefault="00E12646" w:rsidP="00E12646">
      <w:pPr>
        <w:rPr>
          <w:rFonts w:ascii="Arial" w:hAnsi="Arial" w:cs="Arial"/>
          <w:color w:val="2F3235"/>
          <w:shd w:val="clear" w:color="auto" w:fill="FFFFFF"/>
        </w:rPr>
      </w:pPr>
      <w:r w:rsidRPr="00E12646">
        <w:rPr>
          <w:rFonts w:ascii="Arial" w:hAnsi="Arial" w:cs="Arial"/>
        </w:rPr>
        <w:t>It means we are there to be the “voice of the Cumbrian resident” supporting the need to e</w:t>
      </w:r>
      <w:r w:rsidRPr="00E12646">
        <w:rPr>
          <w:rFonts w:ascii="Arial" w:hAnsi="Arial" w:cs="Arial"/>
          <w:color w:val="2F3235"/>
          <w:shd w:val="clear" w:color="auto" w:fill="FFFFFF"/>
        </w:rPr>
        <w:t xml:space="preserve">nsure </w:t>
      </w:r>
      <w:r w:rsidR="00AF0ACA" w:rsidRPr="00E12646">
        <w:rPr>
          <w:rFonts w:ascii="Arial" w:hAnsi="Arial" w:cs="Arial"/>
          <w:color w:val="2F3235"/>
          <w:shd w:val="clear" w:color="auto" w:fill="FFFFFF"/>
        </w:rPr>
        <w:t>consistency and</w:t>
      </w:r>
      <w:r w:rsidRPr="00E12646">
        <w:rPr>
          <w:rFonts w:ascii="Arial" w:hAnsi="Arial" w:cs="Arial"/>
          <w:color w:val="2F3235"/>
          <w:shd w:val="clear" w:color="auto" w:fill="FFFFFF"/>
        </w:rPr>
        <w:t xml:space="preserve"> making sure the right balance is struck between human rights and public protection. This can be </w:t>
      </w:r>
      <w:r>
        <w:rPr>
          <w:rFonts w:ascii="Arial" w:hAnsi="Arial" w:cs="Arial"/>
          <w:color w:val="2F3235"/>
          <w:shd w:val="clear" w:color="auto" w:fill="FFFFFF"/>
        </w:rPr>
        <w:t>c</w:t>
      </w:r>
      <w:r w:rsidRPr="00E12646">
        <w:rPr>
          <w:rFonts w:ascii="Arial" w:hAnsi="Arial" w:cs="Arial"/>
          <w:color w:val="2F3235"/>
          <w:shd w:val="clear" w:color="auto" w:fill="FFFFFF"/>
        </w:rPr>
        <w:t>hallenging, but with a high level of professional curiosity, active listening, and constructive discussion, we have both felt highly valued by the Cumbria MAPPA Board.</w:t>
      </w:r>
    </w:p>
    <w:p w14:paraId="4020840C" w14:textId="77777777" w:rsidR="00E12646" w:rsidRPr="00E12646" w:rsidRDefault="00E12646" w:rsidP="00E12646">
      <w:pPr>
        <w:rPr>
          <w:rFonts w:ascii="Arial" w:hAnsi="Arial" w:cs="Arial"/>
          <w:color w:val="2F3235"/>
          <w:shd w:val="clear" w:color="auto" w:fill="FFFFFF"/>
        </w:rPr>
      </w:pPr>
    </w:p>
    <w:p w14:paraId="1A767D54" w14:textId="3A769CF9" w:rsidR="00E12646" w:rsidRDefault="00E12646" w:rsidP="00E12646">
      <w:pPr>
        <w:rPr>
          <w:rFonts w:ascii="Arial" w:hAnsi="Arial" w:cs="Arial"/>
          <w:color w:val="2F3235"/>
          <w:shd w:val="clear" w:color="auto" w:fill="FFFFFF"/>
        </w:rPr>
      </w:pPr>
      <w:r w:rsidRPr="00E12646">
        <w:rPr>
          <w:rFonts w:ascii="Arial" w:hAnsi="Arial" w:cs="Arial"/>
          <w:color w:val="2F3235"/>
          <w:shd w:val="clear" w:color="auto" w:fill="FFFFFF"/>
        </w:rPr>
        <w:t>Our tenure of course witnessed the impact of Covid and the response of MAPPA to retain the high standards of public protection and adopting new ways of working to ensure the operations of MAPPA continued to deliver the right outcomes.</w:t>
      </w:r>
    </w:p>
    <w:p w14:paraId="7370C369" w14:textId="77777777" w:rsidR="00E12646" w:rsidRPr="00E12646" w:rsidRDefault="00E12646" w:rsidP="00E12646">
      <w:pPr>
        <w:rPr>
          <w:rFonts w:ascii="Arial" w:hAnsi="Arial" w:cs="Arial"/>
          <w:color w:val="2F3235"/>
          <w:shd w:val="clear" w:color="auto" w:fill="FFFFFF"/>
        </w:rPr>
      </w:pPr>
    </w:p>
    <w:p w14:paraId="4EB2BF94" w14:textId="77777777" w:rsidR="00E12646" w:rsidRPr="00E12646" w:rsidRDefault="00E12646" w:rsidP="00E12646">
      <w:pPr>
        <w:rPr>
          <w:rFonts w:ascii="Arial" w:hAnsi="Arial" w:cs="Arial"/>
          <w:color w:val="2F3235"/>
          <w:shd w:val="clear" w:color="auto" w:fill="FFFFFF"/>
        </w:rPr>
      </w:pPr>
      <w:r w:rsidRPr="00E12646">
        <w:rPr>
          <w:rFonts w:ascii="Arial" w:hAnsi="Arial" w:cs="Arial"/>
          <w:color w:val="2F3235"/>
          <w:shd w:val="clear" w:color="auto" w:fill="FFFFFF"/>
        </w:rPr>
        <w:t>I know both myself and Mark, are somewhat sad to be leaving our roles, but the need to recruit new Lay Advisors is what keeps MAPPA resilient and ensures different perspectives will maintain healthy discussions.</w:t>
      </w:r>
    </w:p>
    <w:p w14:paraId="3A6C7638" w14:textId="77777777" w:rsidR="00E12646" w:rsidRPr="00E12646" w:rsidRDefault="00E12646" w:rsidP="00E12646">
      <w:pPr>
        <w:rPr>
          <w:rFonts w:ascii="Arial" w:hAnsi="Arial" w:cs="Arial"/>
        </w:rPr>
      </w:pPr>
      <w:r w:rsidRPr="00E12646">
        <w:rPr>
          <w:rFonts w:ascii="Arial" w:hAnsi="Arial" w:cs="Arial"/>
          <w:color w:val="2F3235"/>
          <w:shd w:val="clear" w:color="auto" w:fill="FFFFFF"/>
        </w:rPr>
        <w:t>This voluntary role has brought new insights, a greater depth of understanding of the judicial system and most importantly a deep respect for all the partner agencies and professionals who work to keep Cumbria a safe place to live, work and enjoy.</w:t>
      </w:r>
    </w:p>
    <w:p w14:paraId="6620B6A1" w14:textId="77777777" w:rsidR="00332EE6" w:rsidRPr="00916D29" w:rsidRDefault="00332EE6" w:rsidP="00332EE6">
      <w:pPr>
        <w:pStyle w:val="MAPPA-Bodytext"/>
        <w:rPr>
          <w:szCs w:val="28"/>
          <w:lang w:val="en-GB"/>
        </w:rPr>
        <w:sectPr w:rsidR="00332EE6" w:rsidRPr="00916D2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65057B" w:rsidP="00332EE6">
      <w:pPr>
        <w:pStyle w:val="MAPPA-Bodytext"/>
        <w:jc w:val="center"/>
        <w:rPr>
          <w:b/>
          <w:color w:val="007DC3"/>
          <w:sz w:val="26"/>
          <w:szCs w:val="26"/>
          <w:lang w:val="en-GB"/>
        </w:rPr>
      </w:pPr>
      <w:hyperlink r:id="rId25"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64B697A7" w:rsidR="00332EE6" w:rsidRDefault="00332EE6" w:rsidP="00332EE6">
      <w:pPr>
        <w:pStyle w:val="MAPPA-Bodytext"/>
        <w:jc w:val="center"/>
        <w:rPr>
          <w:b/>
          <w:color w:val="7030A0"/>
          <w:sz w:val="26"/>
          <w:szCs w:val="26"/>
          <w:lang w:val="en-GB"/>
        </w:rPr>
      </w:pPr>
    </w:p>
    <w:p w14:paraId="3D8ACAA2" w14:textId="77777777" w:rsidR="000E3453" w:rsidRPr="006954C2" w:rsidRDefault="000E3453" w:rsidP="00410226">
      <w:pPr>
        <w:pStyle w:val="MAPPA-Bodytext"/>
        <w:rPr>
          <w:b/>
          <w:color w:val="7030A0"/>
          <w:sz w:val="24"/>
          <w:szCs w:val="24"/>
          <w:lang w:val="en-GB"/>
        </w:rPr>
        <w:sectPr w:rsidR="000E3453" w:rsidRPr="006954C2" w:rsidSect="00867C9E">
          <w:footerReference w:type="default" r:id="rId26"/>
          <w:pgSz w:w="11905" w:h="16837" w:code="9"/>
          <w:pgMar w:top="720" w:right="720" w:bottom="720" w:left="720" w:header="720" w:footer="567" w:gutter="0"/>
          <w:cols w:space="720"/>
          <w:noEndnote/>
          <w:docGrid w:linePitch="360"/>
        </w:sectPr>
      </w:pPr>
    </w:p>
    <w:p w14:paraId="511E354C" w14:textId="447C5956" w:rsidR="0052760C" w:rsidRPr="006954C2" w:rsidRDefault="0052760C" w:rsidP="005A1B9A">
      <w:pPr>
        <w:jc w:val="center"/>
        <w:rPr>
          <w:rFonts w:ascii="Arial" w:hAnsi="Arial" w:cs="Arial"/>
          <w:color w:val="7030A0"/>
        </w:rPr>
      </w:pPr>
    </w:p>
    <w:p w14:paraId="1390E1F0" w14:textId="4E1083F5" w:rsidR="0052760C" w:rsidRPr="006954C2" w:rsidRDefault="0052760C" w:rsidP="005A1B9A">
      <w:pPr>
        <w:jc w:val="center"/>
        <w:rPr>
          <w:rFonts w:ascii="Arial" w:hAnsi="Arial" w:cs="Arial"/>
          <w:color w:val="7030A0"/>
        </w:rPr>
      </w:pPr>
    </w:p>
    <w:p w14:paraId="4165261C" w14:textId="77777777" w:rsidR="00410226" w:rsidRDefault="00410226" w:rsidP="005A1B9A">
      <w:pPr>
        <w:jc w:val="center"/>
        <w:rPr>
          <w:noProof/>
          <w:color w:val="7030A0"/>
        </w:rPr>
      </w:pPr>
    </w:p>
    <w:p w14:paraId="1C7A4C5A" w14:textId="77777777" w:rsidR="002D0553" w:rsidRDefault="002D0553" w:rsidP="005A1B9A">
      <w:pPr>
        <w:jc w:val="center"/>
        <w:rPr>
          <w:rFonts w:ascii="Arial" w:hAnsi="Arial" w:cs="Arial"/>
          <w:color w:val="7030A0"/>
        </w:rPr>
      </w:pPr>
    </w:p>
    <w:p w14:paraId="34C69865" w14:textId="77777777" w:rsidR="002D0553" w:rsidRDefault="002D0553" w:rsidP="005A1B9A">
      <w:pPr>
        <w:jc w:val="center"/>
        <w:rPr>
          <w:rFonts w:ascii="Arial" w:hAnsi="Arial" w:cs="Arial"/>
          <w:color w:val="7030A0"/>
        </w:rPr>
      </w:pPr>
    </w:p>
    <w:p w14:paraId="0E583F6E" w14:textId="77777777" w:rsidR="002D0553" w:rsidRDefault="002D0553" w:rsidP="005A1B9A">
      <w:pPr>
        <w:jc w:val="center"/>
        <w:rPr>
          <w:rFonts w:ascii="Arial" w:hAnsi="Arial" w:cs="Arial"/>
          <w:color w:val="7030A0"/>
        </w:rPr>
      </w:pPr>
    </w:p>
    <w:p w14:paraId="3763C2FE" w14:textId="77777777" w:rsidR="002D0553" w:rsidRDefault="002D0553" w:rsidP="005A1B9A">
      <w:pPr>
        <w:jc w:val="center"/>
        <w:rPr>
          <w:rFonts w:ascii="Arial" w:hAnsi="Arial" w:cs="Arial"/>
          <w:color w:val="7030A0"/>
        </w:rPr>
      </w:pPr>
    </w:p>
    <w:p w14:paraId="6E6BEC19" w14:textId="77777777" w:rsidR="002D0553" w:rsidRDefault="002D0553" w:rsidP="005A1B9A">
      <w:pPr>
        <w:jc w:val="center"/>
        <w:rPr>
          <w:rFonts w:ascii="Arial" w:hAnsi="Arial" w:cs="Arial"/>
          <w:color w:val="7030A0"/>
        </w:rPr>
      </w:pPr>
    </w:p>
    <w:p w14:paraId="6034B4A1" w14:textId="77777777" w:rsidR="002D0553" w:rsidRDefault="002D0553" w:rsidP="005A1B9A">
      <w:pPr>
        <w:jc w:val="center"/>
        <w:rPr>
          <w:rFonts w:ascii="Arial" w:hAnsi="Arial" w:cs="Arial"/>
          <w:color w:val="7030A0"/>
        </w:rPr>
      </w:pPr>
    </w:p>
    <w:p w14:paraId="32B2F0A5" w14:textId="77777777" w:rsidR="002D0553" w:rsidRDefault="002D0553" w:rsidP="005A1B9A">
      <w:pPr>
        <w:jc w:val="center"/>
        <w:rPr>
          <w:rFonts w:ascii="Arial" w:hAnsi="Arial" w:cs="Arial"/>
          <w:color w:val="7030A0"/>
        </w:rPr>
      </w:pPr>
    </w:p>
    <w:p w14:paraId="057CBF64" w14:textId="77777777" w:rsidR="002D0553" w:rsidRDefault="002D0553" w:rsidP="005A1B9A">
      <w:pPr>
        <w:jc w:val="center"/>
        <w:rPr>
          <w:rFonts w:ascii="Arial" w:hAnsi="Arial" w:cs="Arial"/>
          <w:color w:val="7030A0"/>
        </w:rPr>
      </w:pPr>
    </w:p>
    <w:p w14:paraId="7B54018B" w14:textId="77777777" w:rsidR="002D0553" w:rsidRDefault="002D0553" w:rsidP="005A1B9A">
      <w:pPr>
        <w:jc w:val="center"/>
        <w:rPr>
          <w:rFonts w:ascii="Arial" w:hAnsi="Arial" w:cs="Arial"/>
          <w:color w:val="7030A0"/>
        </w:rPr>
      </w:pPr>
    </w:p>
    <w:p w14:paraId="161400E9" w14:textId="77777777" w:rsidR="002D0553" w:rsidRDefault="002D0553" w:rsidP="005A1B9A">
      <w:pPr>
        <w:jc w:val="center"/>
        <w:rPr>
          <w:rFonts w:ascii="Arial" w:hAnsi="Arial" w:cs="Arial"/>
          <w:color w:val="7030A0"/>
        </w:rPr>
      </w:pPr>
    </w:p>
    <w:p w14:paraId="35251D6B" w14:textId="77777777" w:rsidR="002D0553" w:rsidRDefault="002D0553" w:rsidP="005A1B9A">
      <w:pPr>
        <w:jc w:val="center"/>
        <w:rPr>
          <w:rFonts w:ascii="Arial" w:hAnsi="Arial" w:cs="Arial"/>
          <w:color w:val="7030A0"/>
        </w:rPr>
      </w:pPr>
    </w:p>
    <w:p w14:paraId="01D8ECA2" w14:textId="77777777" w:rsidR="002D0553" w:rsidRDefault="002D0553" w:rsidP="005A1B9A">
      <w:pPr>
        <w:jc w:val="center"/>
        <w:rPr>
          <w:rFonts w:ascii="Arial" w:hAnsi="Arial" w:cs="Arial"/>
          <w:color w:val="7030A0"/>
        </w:rPr>
      </w:pPr>
    </w:p>
    <w:p w14:paraId="20FB1429" w14:textId="77777777" w:rsidR="002D0553" w:rsidRDefault="002D0553" w:rsidP="005A1B9A">
      <w:pPr>
        <w:jc w:val="center"/>
        <w:rPr>
          <w:rFonts w:ascii="Arial" w:hAnsi="Arial" w:cs="Arial"/>
          <w:color w:val="7030A0"/>
        </w:rPr>
      </w:pPr>
    </w:p>
    <w:p w14:paraId="6D03ED82" w14:textId="1D76CE4C" w:rsidR="002D0553" w:rsidRDefault="002D0553" w:rsidP="005A1B9A">
      <w:pPr>
        <w:jc w:val="center"/>
        <w:rPr>
          <w:rFonts w:ascii="Arial" w:hAnsi="Arial" w:cs="Arial"/>
          <w:color w:val="7030A0"/>
        </w:rPr>
      </w:pPr>
      <w:r w:rsidRPr="006954C2">
        <w:rPr>
          <w:noProof/>
          <w:color w:val="7030A0"/>
        </w:rPr>
        <w:drawing>
          <wp:inline distT="0" distB="0" distL="0" distR="0" wp14:anchorId="1432678F" wp14:editId="6CBB9D5B">
            <wp:extent cx="1714500" cy="1137383"/>
            <wp:effectExtent l="0" t="0" r="0" b="5715"/>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137383"/>
                    </a:xfrm>
                    <a:prstGeom prst="rect">
                      <a:avLst/>
                    </a:prstGeom>
                    <a:noFill/>
                  </pic:spPr>
                </pic:pic>
              </a:graphicData>
            </a:graphic>
          </wp:inline>
        </w:drawing>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p>
    <w:p w14:paraId="2820EA71" w14:textId="77777777" w:rsidR="002D0553" w:rsidRDefault="002D0553" w:rsidP="005A1B9A">
      <w:pPr>
        <w:jc w:val="center"/>
        <w:rPr>
          <w:rFonts w:ascii="Arial" w:hAnsi="Arial" w:cs="Arial"/>
          <w:color w:val="7030A0"/>
        </w:rPr>
      </w:pPr>
    </w:p>
    <w:p w14:paraId="43255734" w14:textId="77777777" w:rsidR="002D0553" w:rsidRDefault="002D0553" w:rsidP="005A1B9A">
      <w:pPr>
        <w:jc w:val="center"/>
        <w:rPr>
          <w:rFonts w:ascii="Arial" w:hAnsi="Arial" w:cs="Arial"/>
          <w:color w:val="7030A0"/>
        </w:rPr>
      </w:pPr>
    </w:p>
    <w:p w14:paraId="31B57B53" w14:textId="77777777" w:rsidR="002D0553" w:rsidRDefault="002D0553" w:rsidP="005A1B9A">
      <w:pPr>
        <w:jc w:val="center"/>
        <w:rPr>
          <w:rFonts w:ascii="Arial" w:hAnsi="Arial" w:cs="Arial"/>
          <w:color w:val="7030A0"/>
        </w:rPr>
      </w:pPr>
    </w:p>
    <w:p w14:paraId="7D794EF3" w14:textId="417BCFE8" w:rsidR="002D0553" w:rsidRDefault="002D0553" w:rsidP="005A1B9A">
      <w:pPr>
        <w:jc w:val="center"/>
        <w:rPr>
          <w:rFonts w:ascii="Arial" w:hAnsi="Arial" w:cs="Arial"/>
          <w:color w:val="7030A0"/>
        </w:rPr>
      </w:pPr>
    </w:p>
    <w:p w14:paraId="024CE8E5" w14:textId="0897C8A9" w:rsidR="0052760C" w:rsidRDefault="0052760C" w:rsidP="005A1B9A">
      <w:pPr>
        <w:jc w:val="center"/>
        <w:rPr>
          <w:rFonts w:ascii="Arial" w:hAnsi="Arial" w:cs="Arial"/>
          <w:color w:val="7030A0"/>
        </w:rPr>
      </w:pPr>
    </w:p>
    <w:p w14:paraId="28C4B0AD" w14:textId="77777777" w:rsidR="002D0553" w:rsidRDefault="002D0553" w:rsidP="005A1B9A">
      <w:pPr>
        <w:jc w:val="center"/>
        <w:rPr>
          <w:rFonts w:ascii="Arial" w:hAnsi="Arial" w:cs="Arial"/>
          <w:color w:val="7030A0"/>
        </w:rPr>
      </w:pPr>
    </w:p>
    <w:p w14:paraId="3CDACAD7" w14:textId="77777777" w:rsidR="002D0553" w:rsidRDefault="002D0553" w:rsidP="005A1B9A">
      <w:pPr>
        <w:jc w:val="center"/>
        <w:rPr>
          <w:rFonts w:ascii="Arial" w:hAnsi="Arial" w:cs="Arial"/>
          <w:color w:val="7030A0"/>
        </w:rPr>
      </w:pPr>
    </w:p>
    <w:p w14:paraId="3114D02C" w14:textId="77777777" w:rsidR="002D0553" w:rsidRDefault="002D0553" w:rsidP="005A1B9A">
      <w:pPr>
        <w:jc w:val="center"/>
        <w:rPr>
          <w:rFonts w:ascii="Arial" w:hAnsi="Arial" w:cs="Arial"/>
          <w:color w:val="7030A0"/>
        </w:rPr>
      </w:pPr>
    </w:p>
    <w:p w14:paraId="690CA2CA" w14:textId="77777777" w:rsidR="002D0553" w:rsidRDefault="002D0553" w:rsidP="005A1B9A">
      <w:pPr>
        <w:jc w:val="center"/>
        <w:rPr>
          <w:rFonts w:ascii="Arial" w:hAnsi="Arial" w:cs="Arial"/>
          <w:color w:val="7030A0"/>
        </w:rPr>
      </w:pPr>
    </w:p>
    <w:p w14:paraId="11961B11" w14:textId="6323EE8B" w:rsidR="002D0553" w:rsidRDefault="002D0553" w:rsidP="005A1B9A">
      <w:pPr>
        <w:jc w:val="center"/>
        <w:rPr>
          <w:rFonts w:ascii="Arial" w:hAnsi="Arial" w:cs="Arial"/>
          <w:color w:val="7030A0"/>
        </w:rPr>
      </w:pPr>
    </w:p>
    <w:p w14:paraId="781636DF" w14:textId="77777777" w:rsidR="002D0553" w:rsidRDefault="002D0553" w:rsidP="005A1B9A">
      <w:pPr>
        <w:jc w:val="center"/>
        <w:rPr>
          <w:rFonts w:ascii="Arial" w:hAnsi="Arial" w:cs="Arial"/>
          <w:color w:val="7030A0"/>
        </w:rPr>
      </w:pPr>
    </w:p>
    <w:p w14:paraId="58954F8E" w14:textId="77777777" w:rsidR="002D0553" w:rsidRDefault="002D0553" w:rsidP="005A1B9A">
      <w:pPr>
        <w:jc w:val="center"/>
        <w:rPr>
          <w:rFonts w:ascii="Arial" w:hAnsi="Arial" w:cs="Arial"/>
          <w:color w:val="7030A0"/>
        </w:rPr>
      </w:pPr>
    </w:p>
    <w:p w14:paraId="403C53AD" w14:textId="3080D9AB" w:rsidR="002D0553" w:rsidRDefault="002D0553" w:rsidP="005A1B9A">
      <w:pPr>
        <w:jc w:val="center"/>
        <w:rPr>
          <w:rFonts w:ascii="Arial" w:hAnsi="Arial" w:cs="Arial"/>
          <w:color w:val="7030A0"/>
        </w:rPr>
      </w:pPr>
    </w:p>
    <w:p w14:paraId="1F1D0C6C" w14:textId="77777777" w:rsidR="002D0553" w:rsidRDefault="002D0553" w:rsidP="005A1B9A">
      <w:pPr>
        <w:jc w:val="center"/>
        <w:rPr>
          <w:rFonts w:ascii="Arial" w:hAnsi="Arial" w:cs="Arial"/>
          <w:color w:val="7030A0"/>
        </w:rPr>
      </w:pPr>
    </w:p>
    <w:p w14:paraId="14B0FD34" w14:textId="44FD9641" w:rsidR="002D0553" w:rsidRDefault="002D0553" w:rsidP="005A1B9A">
      <w:pPr>
        <w:jc w:val="center"/>
        <w:rPr>
          <w:rFonts w:ascii="Arial" w:hAnsi="Arial" w:cs="Arial"/>
          <w:color w:val="7030A0"/>
        </w:rPr>
      </w:pPr>
      <w:r w:rsidRPr="006954C2">
        <w:rPr>
          <w:noProof/>
          <w:color w:val="7030A0"/>
        </w:rPr>
        <w:drawing>
          <wp:inline distT="0" distB="0" distL="0" distR="0" wp14:anchorId="4F7A1AD9" wp14:editId="475E10F8">
            <wp:extent cx="1910080" cy="775335"/>
            <wp:effectExtent l="0" t="0" r="0" b="5715"/>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rotWithShape="1">
                    <a:blip r:embed="rId28">
                      <a:extLst>
                        <a:ext uri="{28A0092B-C50C-407E-A947-70E740481C1C}">
                          <a14:useLocalDpi xmlns:a14="http://schemas.microsoft.com/office/drawing/2010/main" val="0"/>
                        </a:ext>
                      </a:extLst>
                    </a:blip>
                    <a:srcRect l="6191" t="7197" r="8416" b="6442"/>
                    <a:stretch/>
                  </pic:blipFill>
                  <pic:spPr bwMode="auto">
                    <a:xfrm>
                      <a:off x="0" y="0"/>
                      <a:ext cx="1910080" cy="775335"/>
                    </a:xfrm>
                    <a:prstGeom prst="rect">
                      <a:avLst/>
                    </a:prstGeom>
                    <a:noFill/>
                    <a:ln>
                      <a:noFill/>
                    </a:ln>
                    <a:extLst>
                      <a:ext uri="{53640926-AAD7-44D8-BBD7-CCE9431645EC}">
                        <a14:shadowObscured xmlns:a14="http://schemas.microsoft.com/office/drawing/2010/main"/>
                      </a:ext>
                    </a:extLst>
                  </pic:spPr>
                </pic:pic>
              </a:graphicData>
            </a:graphic>
          </wp:inline>
        </w:drawing>
      </w:r>
    </w:p>
    <w:p w14:paraId="28879841" w14:textId="77777777" w:rsidR="002D0553" w:rsidRDefault="002D0553" w:rsidP="005A1B9A">
      <w:pPr>
        <w:jc w:val="center"/>
        <w:rPr>
          <w:rFonts w:ascii="Arial" w:hAnsi="Arial" w:cs="Arial"/>
          <w:color w:val="7030A0"/>
        </w:rPr>
      </w:pPr>
    </w:p>
    <w:p w14:paraId="53476BB2" w14:textId="77777777" w:rsidR="002D0553" w:rsidRDefault="002D0553" w:rsidP="005A1B9A">
      <w:pPr>
        <w:jc w:val="center"/>
        <w:rPr>
          <w:rFonts w:ascii="Arial" w:hAnsi="Arial" w:cs="Arial"/>
          <w:color w:val="7030A0"/>
        </w:rPr>
      </w:pPr>
    </w:p>
    <w:p w14:paraId="4763A3B1" w14:textId="77777777" w:rsidR="002D0553" w:rsidRDefault="002D0553" w:rsidP="005A1B9A">
      <w:pPr>
        <w:jc w:val="center"/>
        <w:rPr>
          <w:rFonts w:ascii="Arial" w:hAnsi="Arial" w:cs="Arial"/>
          <w:color w:val="7030A0"/>
        </w:rPr>
      </w:pPr>
    </w:p>
    <w:p w14:paraId="0AB08C10" w14:textId="77777777" w:rsidR="002D0553" w:rsidRDefault="002D0553" w:rsidP="005A1B9A">
      <w:pPr>
        <w:jc w:val="center"/>
        <w:rPr>
          <w:rFonts w:ascii="Arial" w:hAnsi="Arial" w:cs="Arial"/>
          <w:color w:val="7030A0"/>
        </w:rPr>
      </w:pPr>
    </w:p>
    <w:p w14:paraId="5EC51839" w14:textId="77777777" w:rsidR="002D0553" w:rsidRDefault="002D0553" w:rsidP="005A1B9A">
      <w:pPr>
        <w:jc w:val="center"/>
        <w:rPr>
          <w:rFonts w:ascii="Arial" w:hAnsi="Arial" w:cs="Arial"/>
          <w:color w:val="7030A0"/>
        </w:rPr>
      </w:pPr>
    </w:p>
    <w:p w14:paraId="75A0D137" w14:textId="77777777" w:rsidR="002D0553" w:rsidRDefault="002D0553" w:rsidP="005A1B9A">
      <w:pPr>
        <w:jc w:val="center"/>
        <w:rPr>
          <w:rFonts w:ascii="Arial" w:hAnsi="Arial" w:cs="Arial"/>
          <w:color w:val="7030A0"/>
        </w:rPr>
      </w:pPr>
    </w:p>
    <w:p w14:paraId="19B9680E" w14:textId="77777777" w:rsidR="002D0553" w:rsidRDefault="002D0553" w:rsidP="005A1B9A">
      <w:pPr>
        <w:jc w:val="center"/>
        <w:rPr>
          <w:rFonts w:ascii="Arial" w:hAnsi="Arial" w:cs="Arial"/>
          <w:color w:val="7030A0"/>
        </w:rPr>
      </w:pPr>
    </w:p>
    <w:p w14:paraId="4D9E1010" w14:textId="77777777" w:rsidR="002D0553" w:rsidRDefault="002D0553" w:rsidP="005A1B9A">
      <w:pPr>
        <w:jc w:val="center"/>
        <w:rPr>
          <w:rFonts w:ascii="Arial" w:hAnsi="Arial" w:cs="Arial"/>
          <w:color w:val="7030A0"/>
        </w:rPr>
      </w:pPr>
    </w:p>
    <w:p w14:paraId="462DC8C1" w14:textId="77777777" w:rsidR="002D0553" w:rsidRDefault="002D0553" w:rsidP="005A1B9A">
      <w:pPr>
        <w:jc w:val="center"/>
        <w:rPr>
          <w:rFonts w:ascii="Arial" w:hAnsi="Arial" w:cs="Arial"/>
          <w:color w:val="7030A0"/>
        </w:rPr>
      </w:pPr>
    </w:p>
    <w:p w14:paraId="4A4A45EB" w14:textId="77777777" w:rsidR="002D0553" w:rsidRDefault="002D0553" w:rsidP="005A1B9A">
      <w:pPr>
        <w:jc w:val="center"/>
        <w:rPr>
          <w:rFonts w:ascii="Arial" w:hAnsi="Arial" w:cs="Arial"/>
          <w:color w:val="7030A0"/>
        </w:rPr>
      </w:pPr>
    </w:p>
    <w:p w14:paraId="412750BD" w14:textId="77777777" w:rsidR="002D0553" w:rsidRDefault="002D0553" w:rsidP="005A1B9A">
      <w:pPr>
        <w:jc w:val="center"/>
        <w:rPr>
          <w:rFonts w:ascii="Arial" w:hAnsi="Arial" w:cs="Arial"/>
          <w:color w:val="7030A0"/>
        </w:rPr>
      </w:pPr>
    </w:p>
    <w:p w14:paraId="74768190" w14:textId="77777777" w:rsidR="002D0553" w:rsidRDefault="002D0553" w:rsidP="005A1B9A">
      <w:pPr>
        <w:jc w:val="center"/>
        <w:rPr>
          <w:rFonts w:ascii="Arial" w:hAnsi="Arial" w:cs="Arial"/>
          <w:color w:val="7030A0"/>
        </w:rPr>
      </w:pPr>
    </w:p>
    <w:p w14:paraId="46F91ACD" w14:textId="77777777" w:rsidR="002D0553" w:rsidRDefault="002D0553" w:rsidP="005A1B9A">
      <w:pPr>
        <w:jc w:val="center"/>
        <w:rPr>
          <w:rFonts w:ascii="Arial" w:hAnsi="Arial" w:cs="Arial"/>
          <w:color w:val="7030A0"/>
        </w:rPr>
      </w:pPr>
    </w:p>
    <w:p w14:paraId="7B06DB2F" w14:textId="77777777" w:rsidR="002D0553" w:rsidRDefault="002D0553" w:rsidP="005A1B9A">
      <w:pPr>
        <w:jc w:val="center"/>
        <w:rPr>
          <w:rFonts w:ascii="Arial" w:hAnsi="Arial" w:cs="Arial"/>
          <w:color w:val="7030A0"/>
        </w:rPr>
      </w:pPr>
    </w:p>
    <w:p w14:paraId="78012850" w14:textId="77777777" w:rsidR="002D0553" w:rsidRDefault="002D0553" w:rsidP="005A1B9A">
      <w:pPr>
        <w:jc w:val="center"/>
        <w:rPr>
          <w:rFonts w:ascii="Arial" w:hAnsi="Arial" w:cs="Arial"/>
          <w:color w:val="7030A0"/>
        </w:rPr>
      </w:pPr>
    </w:p>
    <w:p w14:paraId="13183FAA" w14:textId="77777777" w:rsidR="002D0553" w:rsidRDefault="002D0553" w:rsidP="005A1B9A">
      <w:pPr>
        <w:jc w:val="center"/>
        <w:rPr>
          <w:rFonts w:ascii="Arial" w:hAnsi="Arial" w:cs="Arial"/>
          <w:color w:val="7030A0"/>
        </w:rPr>
      </w:pPr>
    </w:p>
    <w:p w14:paraId="094B32AB" w14:textId="77777777" w:rsidR="002D0553" w:rsidRDefault="002D0553" w:rsidP="005A1B9A">
      <w:pPr>
        <w:jc w:val="center"/>
        <w:rPr>
          <w:rFonts w:ascii="Arial" w:hAnsi="Arial" w:cs="Arial"/>
          <w:color w:val="7030A0"/>
        </w:rPr>
      </w:pPr>
    </w:p>
    <w:p w14:paraId="485E70D9" w14:textId="77777777" w:rsidR="002D0553" w:rsidRDefault="002D0553" w:rsidP="005A1B9A">
      <w:pPr>
        <w:jc w:val="center"/>
        <w:rPr>
          <w:rFonts w:ascii="Arial" w:hAnsi="Arial" w:cs="Arial"/>
          <w:color w:val="7030A0"/>
        </w:rPr>
      </w:pPr>
    </w:p>
    <w:p w14:paraId="4ECDEC4A" w14:textId="77777777" w:rsidR="002D0553" w:rsidRDefault="002D0553" w:rsidP="005A1B9A">
      <w:pPr>
        <w:jc w:val="center"/>
        <w:rPr>
          <w:rFonts w:ascii="Arial" w:hAnsi="Arial" w:cs="Arial"/>
          <w:color w:val="7030A0"/>
        </w:rPr>
      </w:pPr>
    </w:p>
    <w:p w14:paraId="7B7EE5B6" w14:textId="496F207F" w:rsidR="002D0553" w:rsidRPr="006954C2" w:rsidRDefault="002D0553" w:rsidP="005A1B9A">
      <w:pPr>
        <w:jc w:val="center"/>
        <w:rPr>
          <w:rFonts w:ascii="Arial" w:hAnsi="Arial" w:cs="Arial"/>
          <w:color w:val="7030A0"/>
        </w:rPr>
      </w:pPr>
      <w:r>
        <w:rPr>
          <w:noProof/>
          <w:color w:val="7030A0"/>
        </w:rPr>
        <w:drawing>
          <wp:inline distT="0" distB="0" distL="0" distR="0" wp14:anchorId="473E869F" wp14:editId="44BF5D79">
            <wp:extent cx="1071245" cy="1266825"/>
            <wp:effectExtent l="0" t="0" r="0" b="9525"/>
            <wp:docPr id="5" name="Picture 5" descr="Cumbria Constabular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mbria Constabulary Logo&#10;"/>
                    <pic:cNvPicPr>
                      <a:picLocks noChangeAspect="1" noChangeArrowheads="1"/>
                    </pic:cNvPicPr>
                  </pic:nvPicPr>
                  <pic:blipFill>
                    <a:blip r:embed="rId29"/>
                    <a:stretch>
                      <a:fillRect/>
                    </a:stretch>
                  </pic:blipFill>
                  <pic:spPr bwMode="auto">
                    <a:xfrm>
                      <a:off x="0" y="0"/>
                      <a:ext cx="1071245" cy="1266825"/>
                    </a:xfrm>
                    <a:prstGeom prst="rect">
                      <a:avLst/>
                    </a:prstGeom>
                    <a:noFill/>
                    <a:ln>
                      <a:noFill/>
                    </a:ln>
                  </pic:spPr>
                </pic:pic>
              </a:graphicData>
            </a:graphic>
          </wp:inline>
        </w:drawing>
      </w:r>
    </w:p>
    <w:sectPr w:rsidR="002D0553"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EC81" w14:textId="77777777" w:rsidR="00D77819" w:rsidRDefault="00D77819" w:rsidP="001A5708">
      <w:pPr>
        <w:pStyle w:val="MAPPA-Bodytext"/>
      </w:pPr>
      <w:r>
        <w:separator/>
      </w:r>
    </w:p>
  </w:endnote>
  <w:endnote w:type="continuationSeparator" w:id="0">
    <w:p w14:paraId="3FA44216" w14:textId="77777777" w:rsidR="00D77819" w:rsidRDefault="00D77819" w:rsidP="001A5708">
      <w:pPr>
        <w:pStyle w:val="MAPPA-Bodytext"/>
      </w:pPr>
      <w:r>
        <w:continuationSeparator/>
      </w:r>
    </w:p>
  </w:endnote>
  <w:endnote w:type="continuationNotice" w:id="1">
    <w:p w14:paraId="5067FDFB" w14:textId="77777777" w:rsidR="00D77819" w:rsidRDefault="00D77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93C5" w14:textId="77777777" w:rsidR="00D77819" w:rsidRDefault="00D77819" w:rsidP="001A5708">
      <w:pPr>
        <w:pStyle w:val="MAPPA-Bodytext"/>
      </w:pPr>
      <w:r>
        <w:separator/>
      </w:r>
    </w:p>
  </w:footnote>
  <w:footnote w:type="continuationSeparator" w:id="0">
    <w:p w14:paraId="11956D41" w14:textId="77777777" w:rsidR="00D77819" w:rsidRDefault="00D77819" w:rsidP="001A5708">
      <w:pPr>
        <w:pStyle w:val="MAPPA-Bodytext"/>
      </w:pPr>
      <w:r>
        <w:continuationSeparator/>
      </w:r>
    </w:p>
  </w:footnote>
  <w:footnote w:type="continuationNotice" w:id="1">
    <w:p w14:paraId="385EB653" w14:textId="77777777" w:rsidR="00D77819" w:rsidRDefault="00D77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7E91" w14:textId="77777777" w:rsidR="0046589C" w:rsidRDefault="00465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6FD6" w14:textId="77777777" w:rsidR="0046589C" w:rsidRDefault="00465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726" w14:textId="77777777" w:rsidR="0046589C" w:rsidRDefault="0046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369344">
    <w:abstractNumId w:val="0"/>
  </w:num>
  <w:num w:numId="2" w16cid:durableId="1980065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055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226"/>
    <w:rsid w:val="00410720"/>
    <w:rsid w:val="00416B8E"/>
    <w:rsid w:val="00421553"/>
    <w:rsid w:val="004265C9"/>
    <w:rsid w:val="0043417E"/>
    <w:rsid w:val="00441138"/>
    <w:rsid w:val="00441413"/>
    <w:rsid w:val="0044659C"/>
    <w:rsid w:val="00447974"/>
    <w:rsid w:val="004602E7"/>
    <w:rsid w:val="0046416B"/>
    <w:rsid w:val="0046589C"/>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5057B"/>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0ACA"/>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77819"/>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12646"/>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320378202">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multi-agency-public-protection-arrangements-review"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3.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2.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3.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customXml/itemProps4.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12</Pages>
  <Words>2986</Words>
  <Characters>16251</Characters>
  <Application>Microsoft Office Word</Application>
  <DocSecurity>0</DocSecurity>
  <Lines>135</Lines>
  <Paragraphs>38</Paragraphs>
  <ScaleCrop>false</ScaleCrop>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4</cp:revision>
  <dcterms:created xsi:type="dcterms:W3CDTF">2023-10-10T14:08:00Z</dcterms:created>
  <dcterms:modified xsi:type="dcterms:W3CDTF">2023-10-23T11:25:00Z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y fmtid="{D5CDD505-2E9C-101B-9397-08002B2CF9AE}" pid="4" name="MSIP_Label_b4fec6b3-91e0-4cb4-97f0-3b695e194c32_Enabled">
    <vt:lpwstr>true</vt:lpwstr>
  </property>
  <property fmtid="{D5CDD505-2E9C-101B-9397-08002B2CF9AE}" pid="5" name="MSIP_Label_b4fec6b3-91e0-4cb4-97f0-3b695e194c32_SetDate">
    <vt:lpwstr>2023-09-11T08:07:33Z</vt:lpwstr>
  </property>
  <property fmtid="{D5CDD505-2E9C-101B-9397-08002B2CF9AE}" pid="6" name="MSIP_Label_b4fec6b3-91e0-4cb4-97f0-3b695e194c32_Method">
    <vt:lpwstr>Standard</vt:lpwstr>
  </property>
  <property fmtid="{D5CDD505-2E9C-101B-9397-08002B2CF9AE}" pid="7" name="MSIP_Label_b4fec6b3-91e0-4cb4-97f0-3b695e194c32_Name">
    <vt:lpwstr>b4fec6b3-91e0-4cb4-97f0-3b695e194c32</vt:lpwstr>
  </property>
  <property fmtid="{D5CDD505-2E9C-101B-9397-08002B2CF9AE}" pid="8" name="MSIP_Label_b4fec6b3-91e0-4cb4-97f0-3b695e194c32_SiteId">
    <vt:lpwstr>7ea6412d-a887-4942-951c-cd722827b11a</vt:lpwstr>
  </property>
  <property fmtid="{D5CDD505-2E9C-101B-9397-08002B2CF9AE}" pid="9" name="MSIP_Label_b4fec6b3-91e0-4cb4-97f0-3b695e194c32_ActionId">
    <vt:lpwstr>a0bdffc8-e647-469c-80cb-8791df19083f</vt:lpwstr>
  </property>
  <property fmtid="{D5CDD505-2E9C-101B-9397-08002B2CF9AE}" pid="10" name="MSIP_Label_b4fec6b3-91e0-4cb4-97f0-3b695e194c32_ContentBits">
    <vt:lpwstr>0</vt:lpwstr>
  </property>
</Properties>
</file>