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CD80AA" w14:textId="02251DD3" w:rsidR="003C0362" w:rsidRPr="0069414D" w:rsidRDefault="008E2C4B" w:rsidP="003C0362">
      <w:pPr>
        <w:pStyle w:val="Default"/>
        <w:rPr>
          <w:rStyle w:val="IntenseReference"/>
          <w:rFonts w:ascii="Arial" w:hAnsi="Arial" w:cs="Arial"/>
          <w:b w:val="0"/>
          <w:color w:val="7030A0"/>
          <w:sz w:val="100"/>
          <w:szCs w:val="100"/>
        </w:rPr>
      </w:pPr>
      <w:bookmarkStart w:id="0" w:name="_Hlk21438050"/>
      <w:r w:rsidRPr="005526F6">
        <w:rPr>
          <w:noProof/>
        </w:rPr>
        <w:drawing>
          <wp:inline distT="0" distB="0" distL="0" distR="0" wp14:anchorId="272FEB4B" wp14:editId="169651E4">
            <wp:extent cx="2509048" cy="923925"/>
            <wp:effectExtent l="0" t="0" r="5715" b="0"/>
            <wp:docPr id="6" name="Picture 6" descr="MAP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P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5505" cy="929985"/>
                    </a:xfrm>
                    <a:prstGeom prst="rect">
                      <a:avLst/>
                    </a:prstGeom>
                    <a:noFill/>
                    <a:ln>
                      <a:noFill/>
                    </a:ln>
                  </pic:spPr>
                </pic:pic>
              </a:graphicData>
            </a:graphic>
          </wp:inline>
        </w:drawing>
      </w:r>
    </w:p>
    <w:p w14:paraId="31CDDF49" w14:textId="5643A63D" w:rsidR="003C0362" w:rsidRPr="006645A8" w:rsidRDefault="003E6AD5" w:rsidP="00C53C46">
      <w:pPr>
        <w:pStyle w:val="Default"/>
        <w:rPr>
          <w:rStyle w:val="IntenseReference"/>
          <w:rFonts w:ascii="Arial" w:hAnsi="Arial" w:cs="Arial"/>
          <w:b w:val="0"/>
          <w:color w:val="7030A0"/>
          <w:sz w:val="100"/>
          <w:szCs w:val="100"/>
        </w:rPr>
      </w:pPr>
      <w:r>
        <w:rPr>
          <w:rStyle w:val="IntenseReference"/>
          <w:rFonts w:ascii="Arial" w:hAnsi="Arial" w:cs="Arial"/>
          <w:b w:val="0"/>
          <w:color w:val="7030A0"/>
          <w:sz w:val="100"/>
          <w:szCs w:val="100"/>
        </w:rPr>
        <w:t xml:space="preserve">      </w:t>
      </w:r>
      <w:r w:rsidR="00010EAE" w:rsidRPr="006645A8">
        <w:rPr>
          <w:rStyle w:val="IntenseReference"/>
          <w:rFonts w:ascii="Arial" w:hAnsi="Arial" w:cs="Arial"/>
          <w:b w:val="0"/>
          <w:color w:val="7030A0"/>
          <w:sz w:val="100"/>
          <w:szCs w:val="100"/>
        </w:rPr>
        <w:t>MAPPA Cleveland</w:t>
      </w:r>
    </w:p>
    <w:p w14:paraId="6A04797D" w14:textId="297FEC98" w:rsidR="002F08DA" w:rsidRDefault="002652AD" w:rsidP="003C0362">
      <w:pPr>
        <w:pStyle w:val="Default"/>
        <w:jc w:val="right"/>
        <w:rPr>
          <w:rStyle w:val="IntenseReference"/>
          <w:rFonts w:ascii="Arial" w:hAnsi="Arial" w:cs="Arial"/>
          <w:b w:val="0"/>
          <w:color w:val="7030A0"/>
          <w:sz w:val="100"/>
          <w:szCs w:val="100"/>
        </w:rPr>
      </w:pPr>
      <w:r>
        <w:rPr>
          <w:noProof/>
        </w:rPr>
        <w:drawing>
          <wp:inline distT="0" distB="0" distL="0" distR="0" wp14:anchorId="3EEB6FB7" wp14:editId="482FA8ED">
            <wp:extent cx="7556500" cy="5712242"/>
            <wp:effectExtent l="0" t="0" r="6350" b="3175"/>
            <wp:docPr id="10" name="Picture 10" descr="Middlesbrough Transporter Bridge over River 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ddlesbrough Transporter Bridge over River Te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8482" cy="5759096"/>
                    </a:xfrm>
                    <a:prstGeom prst="rect">
                      <a:avLst/>
                    </a:prstGeom>
                    <a:noFill/>
                    <a:ln>
                      <a:noFill/>
                    </a:ln>
                  </pic:spPr>
                </pic:pic>
              </a:graphicData>
            </a:graphic>
          </wp:inline>
        </w:drawing>
      </w:r>
    </w:p>
    <w:p w14:paraId="78A7DDDB" w14:textId="77962AA6" w:rsidR="002F08DA" w:rsidRDefault="002F08DA" w:rsidP="003C0362">
      <w:pPr>
        <w:pStyle w:val="Default"/>
        <w:jc w:val="right"/>
        <w:rPr>
          <w:rStyle w:val="IntenseReference"/>
          <w:rFonts w:ascii="Arial" w:hAnsi="Arial" w:cs="Arial"/>
          <w:b w:val="0"/>
          <w:color w:val="7030A0"/>
          <w:sz w:val="100"/>
          <w:szCs w:val="100"/>
        </w:rPr>
      </w:pPr>
    </w:p>
    <w:p w14:paraId="6A011BE1" w14:textId="6C3C9CCA" w:rsidR="00F7006F" w:rsidRDefault="00F53385" w:rsidP="00233AB5">
      <w:pPr>
        <w:pStyle w:val="Default"/>
        <w:rPr>
          <w:rFonts w:ascii="Arial" w:hAnsi="Arial" w:cs="Arial"/>
          <w:color w:val="7030A0"/>
          <w:sz w:val="96"/>
          <w:szCs w:val="96"/>
        </w:rPr>
      </w:pPr>
      <w:r>
        <w:rPr>
          <w:rFonts w:ascii="Arial" w:hAnsi="Arial" w:cs="Arial"/>
          <w:color w:val="7030A0"/>
          <w:sz w:val="96"/>
          <w:szCs w:val="96"/>
        </w:rPr>
        <w:t xml:space="preserve">   </w:t>
      </w:r>
      <w:r w:rsidR="003C0362" w:rsidRPr="00F7006F">
        <w:rPr>
          <w:rFonts w:ascii="Arial" w:hAnsi="Arial" w:cs="Arial"/>
          <w:color w:val="7030A0"/>
          <w:sz w:val="96"/>
          <w:szCs w:val="96"/>
        </w:rPr>
        <w:t>Annual Rep</w:t>
      </w:r>
      <w:r w:rsidR="002F08DA" w:rsidRPr="00F7006F">
        <w:rPr>
          <w:rFonts w:ascii="Arial" w:hAnsi="Arial" w:cs="Arial"/>
          <w:color w:val="7030A0"/>
          <w:sz w:val="96"/>
          <w:szCs w:val="96"/>
        </w:rPr>
        <w:t>o</w:t>
      </w:r>
      <w:r w:rsidR="003C0362" w:rsidRPr="00F7006F">
        <w:rPr>
          <w:rFonts w:ascii="Arial" w:hAnsi="Arial" w:cs="Arial"/>
          <w:color w:val="7030A0"/>
          <w:sz w:val="96"/>
          <w:szCs w:val="96"/>
        </w:rPr>
        <w:t>rt</w:t>
      </w:r>
      <w:r w:rsidR="00833AD5" w:rsidRPr="00F7006F">
        <w:rPr>
          <w:rFonts w:ascii="Arial" w:hAnsi="Arial" w:cs="Arial"/>
          <w:color w:val="7030A0"/>
          <w:sz w:val="96"/>
          <w:szCs w:val="96"/>
        </w:rPr>
        <w:t xml:space="preserve"> 20</w:t>
      </w:r>
      <w:r w:rsidR="006F236C">
        <w:rPr>
          <w:rFonts w:ascii="Arial" w:hAnsi="Arial" w:cs="Arial"/>
          <w:color w:val="7030A0"/>
          <w:sz w:val="96"/>
          <w:szCs w:val="96"/>
        </w:rPr>
        <w:t>2</w:t>
      </w:r>
      <w:r w:rsidR="001F6696">
        <w:rPr>
          <w:rFonts w:ascii="Arial" w:hAnsi="Arial" w:cs="Arial"/>
          <w:color w:val="7030A0"/>
          <w:sz w:val="96"/>
          <w:szCs w:val="96"/>
        </w:rPr>
        <w:t>2</w:t>
      </w:r>
      <w:r w:rsidR="006F236C">
        <w:rPr>
          <w:rFonts w:ascii="Arial" w:hAnsi="Arial" w:cs="Arial"/>
          <w:color w:val="7030A0"/>
          <w:sz w:val="96"/>
          <w:szCs w:val="96"/>
        </w:rPr>
        <w:t>-2</w:t>
      </w:r>
      <w:r w:rsidR="001F6696">
        <w:rPr>
          <w:rFonts w:ascii="Arial" w:hAnsi="Arial" w:cs="Arial"/>
          <w:color w:val="7030A0"/>
          <w:sz w:val="96"/>
          <w:szCs w:val="96"/>
        </w:rPr>
        <w:t>3</w:t>
      </w:r>
    </w:p>
    <w:p w14:paraId="591FC23B" w14:textId="77777777" w:rsidR="00C53C46" w:rsidRDefault="00C53C46" w:rsidP="00233AB5">
      <w:pPr>
        <w:pStyle w:val="Default"/>
        <w:rPr>
          <w:rFonts w:ascii="Arial" w:hAnsi="Arial" w:cs="Arial"/>
          <w:color w:val="7030A0"/>
          <w:sz w:val="100"/>
          <w:szCs w:val="100"/>
        </w:rPr>
      </w:pPr>
    </w:p>
    <w:p w14:paraId="4552E510" w14:textId="5DFE7C3D" w:rsidR="00332EE6" w:rsidRPr="002F08DA" w:rsidRDefault="00332EE6" w:rsidP="00332EE6">
      <w:pPr>
        <w:pStyle w:val="MAPPA-Heaingsection"/>
        <w:rPr>
          <w:color w:val="7030A0"/>
        </w:rPr>
      </w:pPr>
      <w:r w:rsidRPr="002F08DA">
        <w:rPr>
          <w:color w:val="7030A0"/>
        </w:rPr>
        <w:lastRenderedPageBreak/>
        <w:t>Intro</w:t>
      </w:r>
      <w:r w:rsidR="007D1D47" w:rsidRPr="002F08DA">
        <w:rPr>
          <w:color w:val="7030A0"/>
        </w:rPr>
        <w:t>duction</w:t>
      </w:r>
    </w:p>
    <w:p w14:paraId="182A7957" w14:textId="47862E40" w:rsidR="00332EE6" w:rsidRPr="002F08DA" w:rsidRDefault="00332EE6" w:rsidP="00332EE6">
      <w:pPr>
        <w:pStyle w:val="Default"/>
        <w:pBdr>
          <w:bottom w:val="single" w:sz="4" w:space="1" w:color="007BC3"/>
        </w:pBdr>
        <w:rPr>
          <w:rFonts w:ascii="Arial" w:hAnsi="Arial" w:cs="Arial"/>
          <w:color w:val="7030A0"/>
          <w:sz w:val="16"/>
          <w:szCs w:val="16"/>
        </w:rPr>
      </w:pPr>
    </w:p>
    <w:p w14:paraId="307DBFDF" w14:textId="5B94FAAF" w:rsidR="00332EE6" w:rsidRPr="002F08DA" w:rsidRDefault="00332EE6" w:rsidP="00332EE6">
      <w:pPr>
        <w:pStyle w:val="Default"/>
        <w:rPr>
          <w:rFonts w:ascii="Arial" w:hAnsi="Arial" w:cs="Arial"/>
          <w:color w:val="7030A0"/>
          <w:sz w:val="20"/>
          <w:szCs w:val="20"/>
        </w:rPr>
      </w:pPr>
    </w:p>
    <w:p w14:paraId="63368981" w14:textId="77777777" w:rsidR="00332EE6" w:rsidRPr="002F08DA" w:rsidRDefault="00332EE6" w:rsidP="00332EE6">
      <w:pPr>
        <w:pStyle w:val="Default"/>
        <w:rPr>
          <w:rFonts w:ascii="Arial" w:hAnsi="Arial" w:cs="Arial"/>
          <w:color w:val="7030A0"/>
          <w:sz w:val="20"/>
          <w:szCs w:val="20"/>
        </w:rPr>
        <w:sectPr w:rsidR="00332EE6" w:rsidRPr="002F08DA" w:rsidSect="00282372">
          <w:footerReference w:type="first" r:id="rId13"/>
          <w:pgSz w:w="11905" w:h="16837" w:code="9"/>
          <w:pgMar w:top="720" w:right="720" w:bottom="720" w:left="0" w:header="720" w:footer="567" w:gutter="0"/>
          <w:pgNumType w:start="1"/>
          <w:cols w:space="720"/>
          <w:noEndnote/>
          <w:titlePg/>
          <w:docGrid w:linePitch="326"/>
        </w:sectPr>
      </w:pPr>
    </w:p>
    <w:p w14:paraId="1DEAC352" w14:textId="0B3044C0" w:rsidR="00332EE6" w:rsidRPr="00733747" w:rsidRDefault="00733747" w:rsidP="00F42A1E">
      <w:pPr>
        <w:pStyle w:val="MAPPA-HeadingPara"/>
        <w:spacing w:after="0"/>
        <w:rPr>
          <w:rFonts w:cs="Arial"/>
          <w:color w:val="7030A0"/>
          <w:sz w:val="40"/>
          <w:szCs w:val="40"/>
        </w:rPr>
      </w:pPr>
      <w:r w:rsidRPr="00733747">
        <w:rPr>
          <w:rFonts w:cs="Arial"/>
          <w:color w:val="7030A0"/>
          <w:sz w:val="40"/>
          <w:szCs w:val="40"/>
        </w:rPr>
        <w:t xml:space="preserve">Detective Chief Superintendent </w:t>
      </w:r>
      <w:r w:rsidR="00CB75D3">
        <w:rPr>
          <w:rFonts w:cs="Arial"/>
          <w:color w:val="7030A0"/>
          <w:sz w:val="40"/>
          <w:szCs w:val="40"/>
        </w:rPr>
        <w:t>Lisa Theaker</w:t>
      </w:r>
    </w:p>
    <w:p w14:paraId="2A3ED344" w14:textId="465EEF03" w:rsidR="00733747" w:rsidRPr="00733747" w:rsidRDefault="00733747" w:rsidP="00F42A1E">
      <w:pPr>
        <w:pStyle w:val="MAPPA-HeadingPara"/>
        <w:spacing w:after="0"/>
        <w:rPr>
          <w:rFonts w:cs="Arial"/>
          <w:color w:val="7030A0"/>
          <w:sz w:val="40"/>
          <w:szCs w:val="40"/>
        </w:rPr>
      </w:pPr>
      <w:r w:rsidRPr="00733747">
        <w:rPr>
          <w:rFonts w:cs="Arial"/>
          <w:color w:val="7030A0"/>
          <w:sz w:val="40"/>
          <w:szCs w:val="40"/>
        </w:rPr>
        <w:t>Cleveland Police</w:t>
      </w:r>
    </w:p>
    <w:p w14:paraId="7947553A" w14:textId="03A65DA2" w:rsidR="007D1D47" w:rsidRDefault="007D1D47" w:rsidP="00F42A1E">
      <w:pPr>
        <w:pStyle w:val="MAPPA-HeadingPara"/>
        <w:spacing w:after="0"/>
        <w:rPr>
          <w:rFonts w:cs="Arial"/>
          <w:color w:val="7030A0"/>
          <w:sz w:val="40"/>
          <w:szCs w:val="40"/>
        </w:rPr>
      </w:pPr>
      <w:r w:rsidRPr="00733747">
        <w:rPr>
          <w:rFonts w:cs="Arial"/>
          <w:color w:val="7030A0"/>
          <w:sz w:val="40"/>
          <w:szCs w:val="40"/>
        </w:rPr>
        <w:t>Chair of Cleveland MAPPA</w:t>
      </w:r>
      <w:r w:rsidR="00733747" w:rsidRPr="00733747">
        <w:rPr>
          <w:rFonts w:cs="Arial"/>
          <w:color w:val="7030A0"/>
          <w:sz w:val="40"/>
          <w:szCs w:val="40"/>
        </w:rPr>
        <w:t xml:space="preserve"> </w:t>
      </w:r>
      <w:r w:rsidRPr="00733747">
        <w:rPr>
          <w:rFonts w:cs="Arial"/>
          <w:color w:val="7030A0"/>
          <w:sz w:val="40"/>
          <w:szCs w:val="40"/>
        </w:rPr>
        <w:t xml:space="preserve">Strategic Management </w:t>
      </w:r>
      <w:r w:rsidR="005773AC" w:rsidRPr="00733747">
        <w:rPr>
          <w:rFonts w:cs="Arial"/>
          <w:color w:val="7030A0"/>
          <w:sz w:val="40"/>
          <w:szCs w:val="40"/>
        </w:rPr>
        <w:t>B</w:t>
      </w:r>
      <w:r w:rsidRPr="00733747">
        <w:rPr>
          <w:rFonts w:cs="Arial"/>
          <w:color w:val="7030A0"/>
          <w:sz w:val="40"/>
          <w:szCs w:val="40"/>
        </w:rPr>
        <w:t>oard</w:t>
      </w:r>
    </w:p>
    <w:p w14:paraId="1210D7DA" w14:textId="1D1C6F36" w:rsidR="00837BFD" w:rsidRDefault="00837BFD" w:rsidP="00F42A1E">
      <w:pPr>
        <w:pStyle w:val="MAPPA-HeadingPara"/>
        <w:spacing w:after="0"/>
        <w:rPr>
          <w:rFonts w:cs="Arial"/>
          <w:color w:val="7030A0"/>
          <w:sz w:val="40"/>
          <w:szCs w:val="40"/>
        </w:rPr>
      </w:pPr>
    </w:p>
    <w:p w14:paraId="7BBC23A9" w14:textId="6765CC42" w:rsidR="00733747" w:rsidRDefault="00733747" w:rsidP="00332EE6">
      <w:pPr>
        <w:pStyle w:val="MAPPA-Bodytext"/>
        <w:sectPr w:rsidR="00733747" w:rsidSect="00CB75D3">
          <w:type w:val="continuous"/>
          <w:pgSz w:w="11905" w:h="16837" w:code="9"/>
          <w:pgMar w:top="720" w:right="720" w:bottom="720" w:left="720" w:header="720" w:footer="567" w:gutter="0"/>
          <w:cols w:space="721"/>
          <w:noEndnote/>
          <w:rtlGutter/>
        </w:sectPr>
      </w:pPr>
    </w:p>
    <w:p w14:paraId="6D0E463B" w14:textId="356078ED" w:rsidR="00CB75D3" w:rsidRDefault="00CB75D3" w:rsidP="00CB75D3">
      <w:pPr>
        <w:jc w:val="both"/>
        <w:rPr>
          <w:rFonts w:cstheme="minorHAnsi"/>
        </w:rPr>
      </w:pPr>
      <w:r>
        <w:rPr>
          <w:rFonts w:cstheme="minorHAnsi"/>
        </w:rPr>
        <w:t>Welcome to the 2022/23 Annual Report of the Cleveland Strategic Management Board (SMB) Multi Agency Public Protection Arrangements (MAPPA).</w:t>
      </w:r>
    </w:p>
    <w:p w14:paraId="510BFD21" w14:textId="77777777" w:rsidR="00CB75D3" w:rsidRDefault="00CB75D3" w:rsidP="00CB75D3">
      <w:pPr>
        <w:jc w:val="both"/>
        <w:rPr>
          <w:rFonts w:cstheme="minorHAnsi"/>
        </w:rPr>
      </w:pPr>
    </w:p>
    <w:p w14:paraId="57A92770" w14:textId="6B412D97" w:rsidR="00CB75D3" w:rsidRDefault="00CB75D3" w:rsidP="00CB75D3">
      <w:pPr>
        <w:jc w:val="both"/>
        <w:rPr>
          <w:rFonts w:cstheme="minorHAnsi"/>
        </w:rPr>
      </w:pPr>
      <w:r>
        <w:rPr>
          <w:rFonts w:cstheme="minorHAnsi"/>
        </w:rPr>
        <w:t xml:space="preserve">MAPPA is a partnership between agencies to manage the risk presented by violent and dangerous offenders. This report provides a unique opportunity for the wider public to gain a greater understanding and insight into the work undertaken by public sector and partner agencies working together, to keep our communities safe from those individuals assessed as presenting the highest risk of committing harmful offences. </w:t>
      </w:r>
    </w:p>
    <w:p w14:paraId="55428BD0" w14:textId="77777777" w:rsidR="00CB75D3" w:rsidRDefault="00CB75D3" w:rsidP="00CB75D3">
      <w:pPr>
        <w:jc w:val="both"/>
        <w:rPr>
          <w:rFonts w:cstheme="minorHAnsi"/>
        </w:rPr>
      </w:pPr>
    </w:p>
    <w:p w14:paraId="0F5AE402" w14:textId="74FA9CC0" w:rsidR="00CB75D3" w:rsidRDefault="00CB75D3" w:rsidP="00CB75D3">
      <w:pPr>
        <w:jc w:val="both"/>
        <w:rPr>
          <w:rFonts w:cstheme="minorHAnsi"/>
        </w:rPr>
      </w:pPr>
      <w:r>
        <w:rPr>
          <w:rFonts w:cstheme="minorHAnsi"/>
        </w:rPr>
        <w:t>The Police, Prison, and Probation Service work together to ensure that the risks posed by specified violent and sexual offenders are assessed and managed appropriately and are known collectively under the MAPPA as the Responsible Authority (RA). The RA cannot undertake this work in isolation and work alongside many other agencies who are integral to this work. All agencies are represented on the SMB, alongside all those working in MAPPA on a day-to-day basis, to protect the public in Cleveland.</w:t>
      </w:r>
    </w:p>
    <w:p w14:paraId="4D5C6B0F" w14:textId="77777777" w:rsidR="00CB75D3" w:rsidRDefault="00CB75D3" w:rsidP="00CB75D3">
      <w:pPr>
        <w:jc w:val="both"/>
        <w:rPr>
          <w:rFonts w:cstheme="minorHAnsi"/>
        </w:rPr>
      </w:pPr>
    </w:p>
    <w:p w14:paraId="2CE9DEEB" w14:textId="6D83FB48" w:rsidR="00CB75D3" w:rsidRDefault="00CB75D3" w:rsidP="00CB75D3">
      <w:pPr>
        <w:jc w:val="both"/>
        <w:rPr>
          <w:rFonts w:cstheme="minorHAnsi"/>
        </w:rPr>
      </w:pPr>
      <w:r>
        <w:rPr>
          <w:rFonts w:cstheme="minorHAnsi"/>
        </w:rPr>
        <w:t xml:space="preserve">The very foundation of MAPPA provides a strong framework for pro-active inter-agency sharing of information, intelligence, joint agency assessment, risk management planning, and effective and active case conferencing; all in which contributes to the efficient deployment of resources to reduce and prevent re-offending by violent and sexual offenders.  </w:t>
      </w:r>
    </w:p>
    <w:p w14:paraId="7B4BFB61" w14:textId="77777777" w:rsidR="00CB75D3" w:rsidRDefault="00CB75D3" w:rsidP="00CB75D3">
      <w:pPr>
        <w:jc w:val="both"/>
        <w:rPr>
          <w:rFonts w:cstheme="minorHAnsi"/>
        </w:rPr>
      </w:pPr>
    </w:p>
    <w:p w14:paraId="2319AE12" w14:textId="7ADE423E" w:rsidR="00CB75D3" w:rsidRDefault="00CB75D3" w:rsidP="00CB75D3">
      <w:pPr>
        <w:jc w:val="both"/>
        <w:rPr>
          <w:rFonts w:cstheme="minorBidi"/>
        </w:rPr>
      </w:pPr>
      <w:r>
        <w:t>I am delighted to now chair the SMB for Cleveland and look forward to continuing the work with all our partners to ensure our effectiveness in reducing further harm and safeguarding the public through MAPPA. We are all committed to protecting our communities and to make Cleveland a safer place.</w:t>
      </w:r>
    </w:p>
    <w:p w14:paraId="7B94F8DF" w14:textId="77777777" w:rsidR="00CB75D3" w:rsidRDefault="00CB75D3" w:rsidP="00733747">
      <w:pPr>
        <w:jc w:val="both"/>
      </w:pPr>
    </w:p>
    <w:p w14:paraId="1F428B9B" w14:textId="56F2801D" w:rsidR="00F53385" w:rsidRDefault="00F53385" w:rsidP="00733747">
      <w:pPr>
        <w:jc w:val="both"/>
      </w:pPr>
    </w:p>
    <w:p w14:paraId="3029CB54" w14:textId="4E6A137B" w:rsidR="00F53385" w:rsidRDefault="00F53385" w:rsidP="00733747">
      <w:pPr>
        <w:jc w:val="both"/>
      </w:pPr>
    </w:p>
    <w:p w14:paraId="567A37D7" w14:textId="29BD0AFF" w:rsidR="00F53385" w:rsidRDefault="00F53385" w:rsidP="00733747">
      <w:pPr>
        <w:jc w:val="both"/>
      </w:pPr>
    </w:p>
    <w:p w14:paraId="545BB4F3" w14:textId="5D399FB9" w:rsidR="00F53385" w:rsidRDefault="00F53385" w:rsidP="00733747">
      <w:pPr>
        <w:jc w:val="both"/>
      </w:pPr>
    </w:p>
    <w:p w14:paraId="06B1670F" w14:textId="5ECB5EAC" w:rsidR="00F53385" w:rsidRDefault="00F53385" w:rsidP="00733747">
      <w:pPr>
        <w:jc w:val="both"/>
      </w:pPr>
    </w:p>
    <w:p w14:paraId="3AFBDD7A" w14:textId="6B6C67DC" w:rsidR="00F53385" w:rsidRDefault="00F53385" w:rsidP="00733747">
      <w:pPr>
        <w:jc w:val="both"/>
      </w:pPr>
    </w:p>
    <w:p w14:paraId="38D95B42" w14:textId="058EC208" w:rsidR="00F53385" w:rsidRDefault="00F53385" w:rsidP="00733747">
      <w:pPr>
        <w:jc w:val="both"/>
      </w:pPr>
    </w:p>
    <w:p w14:paraId="50B65238" w14:textId="77777777" w:rsidR="00F53385" w:rsidRDefault="00F53385" w:rsidP="00733747">
      <w:pPr>
        <w:jc w:val="both"/>
      </w:pPr>
    </w:p>
    <w:p w14:paraId="18612D82" w14:textId="77777777" w:rsidR="0045477C" w:rsidRDefault="0045477C" w:rsidP="005773AC">
      <w:pPr>
        <w:tabs>
          <w:tab w:val="left" w:pos="3699"/>
        </w:tabs>
        <w:spacing w:after="240" w:line="240" w:lineRule="exact"/>
        <w:rPr>
          <w:rFonts w:ascii="Arial" w:hAnsi="Arial" w:cs="Arial"/>
          <w:color w:val="000000"/>
          <w:lang w:val="en-US"/>
        </w:rPr>
      </w:pPr>
    </w:p>
    <w:p w14:paraId="2093C709" w14:textId="2BD7FF12" w:rsidR="00ED25C1" w:rsidRPr="00ED25C1" w:rsidRDefault="00ED25C1" w:rsidP="005773AC">
      <w:pPr>
        <w:tabs>
          <w:tab w:val="left" w:pos="3699"/>
        </w:tabs>
        <w:spacing w:after="240" w:line="240" w:lineRule="exact"/>
        <w:rPr>
          <w:rFonts w:ascii="Arial" w:hAnsi="Arial" w:cs="Arial"/>
          <w:color w:val="000000"/>
          <w:lang w:val="en-US"/>
        </w:rPr>
      </w:pPr>
      <w:r w:rsidRPr="00ED25C1">
        <w:rPr>
          <w:rFonts w:ascii="Arial" w:hAnsi="Arial" w:cs="Arial"/>
          <w:noProof/>
          <w:color w:val="000000"/>
          <w:lang w:val="en-US"/>
        </w:rPr>
        <mc:AlternateContent>
          <mc:Choice Requires="wps">
            <w:drawing>
              <wp:anchor distT="0" distB="0" distL="114300" distR="114300" simplePos="0" relativeHeight="251674624" behindDoc="1" locked="0" layoutInCell="1" allowOverlap="1" wp14:anchorId="69ED805C" wp14:editId="0598FACF">
                <wp:simplePos x="0" y="0"/>
                <wp:positionH relativeFrom="column">
                  <wp:posOffset>1123950</wp:posOffset>
                </wp:positionH>
                <wp:positionV relativeFrom="paragraph">
                  <wp:posOffset>9525</wp:posOffset>
                </wp:positionV>
                <wp:extent cx="4514400" cy="1267200"/>
                <wp:effectExtent l="0" t="0" r="19685" b="28575"/>
                <wp:wrapNone/>
                <wp:docPr id="12" name="Rectangle: Rounded Corner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14400" cy="12672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16359" id="Rectangle: Rounded Corners 12" o:spid="_x0000_s1026" alt="&quot;&quot;" style="position:absolute;margin-left:88.5pt;margin-top:.75pt;width:355.45pt;height:9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" fillcolor="#8064a2 [3207]" strokecolor="#3f3151 [1607]" strokeweight="2pt"/>
            </w:pict>
          </mc:Fallback>
        </mc:AlternateContent>
      </w:r>
    </w:p>
    <w:p w14:paraId="64DF3FD2" w14:textId="275B5BA8" w:rsidR="00ED25C1" w:rsidRPr="005773AC" w:rsidRDefault="00ED25C1" w:rsidP="00ED25C1">
      <w:pPr>
        <w:spacing w:line="240" w:lineRule="exact"/>
        <w:jc w:val="center"/>
        <w:rPr>
          <w:rFonts w:ascii="Arial" w:hAnsi="Arial" w:cs="Arial"/>
          <w:color w:val="000000"/>
          <w:lang w:val="en-US"/>
        </w:rPr>
      </w:pPr>
      <w:r w:rsidRPr="005773AC">
        <w:rPr>
          <w:rFonts w:ascii="Arial" w:hAnsi="Arial" w:cs="Arial"/>
          <w:color w:val="000000"/>
          <w:lang w:val="en-US"/>
        </w:rPr>
        <w:t>For more information about MAPPA in Cleveland</w:t>
      </w:r>
    </w:p>
    <w:p w14:paraId="2D3FFD93" w14:textId="6BCD64F3" w:rsidR="00ED25C1" w:rsidRPr="005773AC" w:rsidRDefault="00ED25C1" w:rsidP="00ED25C1">
      <w:pPr>
        <w:spacing w:line="240" w:lineRule="exact"/>
        <w:jc w:val="center"/>
        <w:rPr>
          <w:rFonts w:ascii="Arial" w:hAnsi="Arial" w:cs="Arial"/>
          <w:color w:val="000000"/>
          <w:lang w:val="en-US"/>
        </w:rPr>
      </w:pPr>
      <w:r w:rsidRPr="005773AC">
        <w:rPr>
          <w:rFonts w:ascii="Arial" w:hAnsi="Arial" w:cs="Arial"/>
          <w:color w:val="000000"/>
          <w:lang w:val="en-US"/>
        </w:rPr>
        <w:t>or for compliments, comments or complaints</w:t>
      </w:r>
    </w:p>
    <w:p w14:paraId="41A6B530" w14:textId="64B8BEB0" w:rsidR="00ED25C1" w:rsidRPr="005773AC" w:rsidRDefault="00ED25C1" w:rsidP="00ED25C1">
      <w:pPr>
        <w:spacing w:line="240" w:lineRule="exact"/>
        <w:jc w:val="center"/>
        <w:rPr>
          <w:rFonts w:ascii="Arial" w:hAnsi="Arial" w:cs="Arial"/>
          <w:color w:val="000000"/>
          <w:lang w:val="en-US"/>
        </w:rPr>
      </w:pPr>
      <w:r w:rsidRPr="005773AC">
        <w:rPr>
          <w:rFonts w:ascii="Arial" w:hAnsi="Arial" w:cs="Arial"/>
          <w:color w:val="000000"/>
          <w:lang w:val="en-US"/>
        </w:rPr>
        <w:t>please contact us at</w:t>
      </w:r>
    </w:p>
    <w:p w14:paraId="1E78494B" w14:textId="1CBA8DD1" w:rsidR="00ED25C1" w:rsidRPr="005773AC" w:rsidRDefault="00ED25C1" w:rsidP="00ED25C1">
      <w:pPr>
        <w:spacing w:line="240" w:lineRule="exact"/>
        <w:jc w:val="center"/>
        <w:rPr>
          <w:rFonts w:ascii="Arial" w:hAnsi="Arial" w:cs="Arial"/>
          <w:color w:val="7030A0"/>
        </w:rPr>
      </w:pPr>
      <w:r w:rsidRPr="005773AC">
        <w:rPr>
          <w:rFonts w:ascii="Arial" w:hAnsi="Arial" w:cs="Arial"/>
          <w:color w:val="000000"/>
          <w:lang w:val="en-US"/>
        </w:rPr>
        <w:t>NEPS.Teesvalley.MAPPA@Justice.gov.uk</w:t>
      </w:r>
    </w:p>
    <w:p w14:paraId="0FF626E8" w14:textId="77777777" w:rsidR="00B436F7" w:rsidRDefault="00B436F7" w:rsidP="005773AC">
      <w:pPr>
        <w:rPr>
          <w:rFonts w:cs="Arial"/>
          <w:color w:val="7030A0"/>
          <w:sz w:val="100"/>
          <w:szCs w:val="100"/>
        </w:rPr>
        <w:sectPr w:rsidR="00B436F7" w:rsidSect="00735E92">
          <w:footerReference w:type="default" r:id="rId14"/>
          <w:type w:val="continuous"/>
          <w:pgSz w:w="11905" w:h="16837" w:code="9"/>
          <w:pgMar w:top="720" w:right="720" w:bottom="720" w:left="720" w:header="720" w:footer="567" w:gutter="0"/>
          <w:cols w:space="720"/>
          <w:noEndnote/>
        </w:sectPr>
      </w:pPr>
    </w:p>
    <w:p w14:paraId="3D989333" w14:textId="0C4300EA" w:rsidR="00DE361C" w:rsidRPr="00780F68" w:rsidRDefault="00DE361C" w:rsidP="005773AC">
      <w:pPr>
        <w:rPr>
          <w:rFonts w:cs="Arial"/>
          <w:color w:val="7030A0"/>
          <w:sz w:val="100"/>
          <w:szCs w:val="100"/>
        </w:rPr>
      </w:pPr>
      <w:r w:rsidRPr="00780F68">
        <w:rPr>
          <w:rFonts w:cs="Arial"/>
          <w:color w:val="7030A0"/>
          <w:sz w:val="100"/>
          <w:szCs w:val="100"/>
        </w:rPr>
        <w:lastRenderedPageBreak/>
        <w:t>Andrew Bake</w:t>
      </w:r>
    </w:p>
    <w:p w14:paraId="2153EB5D" w14:textId="6E96ACFF" w:rsidR="00DE361C" w:rsidRPr="00780F68" w:rsidRDefault="00DE361C" w:rsidP="00DE361C">
      <w:pPr>
        <w:pStyle w:val="MAPPA-HeadingPara"/>
        <w:spacing w:after="0"/>
        <w:rPr>
          <w:rFonts w:cs="Arial"/>
          <w:color w:val="7030A0"/>
          <w:sz w:val="56"/>
          <w:szCs w:val="56"/>
        </w:rPr>
      </w:pPr>
      <w:r w:rsidRPr="00780F68">
        <w:rPr>
          <w:rFonts w:cs="Arial"/>
          <w:color w:val="7030A0"/>
          <w:sz w:val="56"/>
          <w:szCs w:val="56"/>
        </w:rPr>
        <w:t>Cleveland MAPPA Coordinator</w:t>
      </w:r>
    </w:p>
    <w:p w14:paraId="5D61F227" w14:textId="77777777" w:rsidR="00DE361C" w:rsidRPr="00DE361C" w:rsidRDefault="00DE361C" w:rsidP="00DE361C">
      <w:pPr>
        <w:pStyle w:val="MAPPA-HeadingPara"/>
        <w:spacing w:after="0"/>
        <w:rPr>
          <w:rFonts w:ascii="Tahoma" w:hAnsi="Tahoma" w:cs="Tahoma"/>
          <w:color w:val="7030A0"/>
          <w:sz w:val="24"/>
        </w:rPr>
      </w:pPr>
    </w:p>
    <w:p w14:paraId="641681E9" w14:textId="7755763D" w:rsidR="00D9019D" w:rsidRDefault="00FB1CF3" w:rsidP="00ED25C1">
      <w:pPr>
        <w:rPr>
          <w:rFonts w:ascii="Arial" w:hAnsi="Arial" w:cs="Arial"/>
        </w:rPr>
      </w:pPr>
      <w:r w:rsidRPr="00D95BC1">
        <w:rPr>
          <w:noProof/>
        </w:rPr>
        <w:drawing>
          <wp:inline distT="0" distB="0" distL="0" distR="0" wp14:anchorId="24A604F3" wp14:editId="25C9043D">
            <wp:extent cx="1326515" cy="980263"/>
            <wp:effectExtent l="0" t="0" r="6985" b="0"/>
            <wp:docPr id="2" name="Picture 2" descr="Picture of Andrew Bake, Cleveland MAPPA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Andrew Bake, Cleveland MAPPA Co-ordinator"/>
                    <pic:cNvPicPr/>
                  </pic:nvPicPr>
                  <pic:blipFill>
                    <a:blip r:embed="rId15"/>
                    <a:stretch>
                      <a:fillRect/>
                    </a:stretch>
                  </pic:blipFill>
                  <pic:spPr>
                    <a:xfrm>
                      <a:off x="0" y="0"/>
                      <a:ext cx="1326515" cy="980263"/>
                    </a:xfrm>
                    <a:prstGeom prst="rect">
                      <a:avLst/>
                    </a:prstGeom>
                  </pic:spPr>
                </pic:pic>
              </a:graphicData>
            </a:graphic>
          </wp:inline>
        </w:drawing>
      </w:r>
    </w:p>
    <w:p w14:paraId="071D6555" w14:textId="55C95FA0" w:rsidR="006F236C" w:rsidRDefault="006F236C" w:rsidP="001B0CC5">
      <w:pPr>
        <w:jc w:val="both"/>
        <w:rPr>
          <w:rFonts w:ascii="Arial" w:hAnsi="Arial" w:cs="Arial"/>
        </w:rPr>
      </w:pPr>
    </w:p>
    <w:p w14:paraId="29664D9A" w14:textId="54BBC391" w:rsidR="002A03F4" w:rsidRDefault="002A03F4" w:rsidP="001B0CC5">
      <w:pPr>
        <w:jc w:val="both"/>
        <w:rPr>
          <w:rFonts w:ascii="Arial" w:hAnsi="Arial" w:cs="Arial"/>
        </w:rPr>
      </w:pPr>
    </w:p>
    <w:p w14:paraId="713F4D79" w14:textId="77777777" w:rsidR="00B436F7" w:rsidRDefault="00B436F7" w:rsidP="001B0CC5">
      <w:pPr>
        <w:jc w:val="both"/>
        <w:rPr>
          <w:rFonts w:ascii="Arial" w:hAnsi="Arial" w:cs="Arial"/>
        </w:rPr>
        <w:sectPr w:rsidR="00B436F7" w:rsidSect="00FB1CF3">
          <w:type w:val="continuous"/>
          <w:pgSz w:w="11905" w:h="16837" w:code="9"/>
          <w:pgMar w:top="720" w:right="720" w:bottom="720" w:left="720" w:header="720" w:footer="567" w:gutter="0"/>
          <w:cols w:num="2" w:space="721" w:equalWidth="0">
            <w:col w:w="7088" w:space="721"/>
            <w:col w:w="2656"/>
          </w:cols>
          <w:noEndnote/>
        </w:sectPr>
      </w:pPr>
    </w:p>
    <w:p w14:paraId="424A7B7A" w14:textId="77777777" w:rsidR="002A03F4" w:rsidRDefault="002A03F4" w:rsidP="001B0CC5">
      <w:pPr>
        <w:jc w:val="both"/>
        <w:rPr>
          <w:rFonts w:ascii="Arial" w:hAnsi="Arial" w:cs="Arial"/>
        </w:rPr>
      </w:pPr>
    </w:p>
    <w:p w14:paraId="7E3E1F15" w14:textId="6FC37AC6" w:rsidR="006F236C" w:rsidRDefault="006F236C" w:rsidP="00ED25C1"/>
    <w:p w14:paraId="72F6252D" w14:textId="63D96C87" w:rsidR="0075264A" w:rsidRDefault="0075264A" w:rsidP="0075264A">
      <w:pPr>
        <w:jc w:val="both"/>
      </w:pPr>
      <w:r>
        <w:t xml:space="preserve">Another solid year of MAPPA performance, we continue to assess and manage those identified as posing the highest risk to public safety, as we continue to ensure MAPPA procedures/policies and joint working are at the forefront of Criminal Justice. </w:t>
      </w:r>
    </w:p>
    <w:p w14:paraId="749DA26B" w14:textId="77777777" w:rsidR="0075264A" w:rsidRDefault="0075264A" w:rsidP="0075264A">
      <w:pPr>
        <w:jc w:val="both"/>
      </w:pPr>
    </w:p>
    <w:p w14:paraId="2562D694" w14:textId="77777777" w:rsidR="0075264A" w:rsidRDefault="0075264A" w:rsidP="0075264A">
      <w:pPr>
        <w:jc w:val="both"/>
      </w:pPr>
      <w:r>
        <w:t xml:space="preserve">We welcome a new SMB MAPPA chair Lisa Theaker, who I look forward to working with in Future. </w:t>
      </w:r>
    </w:p>
    <w:p w14:paraId="2399FE59" w14:textId="77777777" w:rsidR="0075264A" w:rsidRDefault="0075264A" w:rsidP="0075264A">
      <w:pPr>
        <w:jc w:val="both"/>
      </w:pPr>
    </w:p>
    <w:p w14:paraId="46327C67" w14:textId="77777777" w:rsidR="0075264A" w:rsidRDefault="0075264A" w:rsidP="0075264A">
      <w:pPr>
        <w:jc w:val="both"/>
      </w:pPr>
      <w:r>
        <w:t xml:space="preserve">Thinking of the future and maybe it is a symptom of 32 years’ service with the various iterations of the Probation Service, but I have recently been reflecting not only on my career but the changes from 1991 to 2023 and its impact on the way we (MAPPA agencies) work. </w:t>
      </w:r>
    </w:p>
    <w:p w14:paraId="0F5F8B45" w14:textId="77777777" w:rsidR="0075264A" w:rsidRDefault="0075264A" w:rsidP="0075264A">
      <w:pPr>
        <w:jc w:val="both"/>
      </w:pPr>
    </w:p>
    <w:p w14:paraId="31B307BC" w14:textId="77777777" w:rsidR="0075264A" w:rsidRDefault="0075264A" w:rsidP="0075264A">
      <w:pPr>
        <w:jc w:val="both"/>
      </w:pPr>
      <w:r>
        <w:t xml:space="preserve">As a newly qualified Probation Officer in 1991, MAPPA was not even a twinkle in someone’s eye. However, over the years, process and legislation evolved and changed culminating in the sweeping reforms of the Criminal Justice act 2003 when MAPPA was born. </w:t>
      </w:r>
    </w:p>
    <w:p w14:paraId="78095ADF" w14:textId="77777777" w:rsidR="0075264A" w:rsidRDefault="0075264A" w:rsidP="0075264A">
      <w:pPr>
        <w:jc w:val="both"/>
      </w:pPr>
    </w:p>
    <w:p w14:paraId="23186C6D" w14:textId="17D19CE5" w:rsidR="0075264A" w:rsidRDefault="0075264A" w:rsidP="0075264A">
      <w:pPr>
        <w:jc w:val="both"/>
      </w:pPr>
      <w:r>
        <w:t>When I look back and consider the way we worked in 1991 compared to today, a younger me would have been bewildered at the joint working and use of technology that supports and underpins our work. The flow of information between agencies now compared to the “confidential” way we worked in the early 199</w:t>
      </w:r>
      <w:r w:rsidR="009F5E8E">
        <w:t>0’s</w:t>
      </w:r>
      <w:r>
        <w:t xml:space="preserve"> is staggering.  </w:t>
      </w:r>
    </w:p>
    <w:p w14:paraId="6EB8119D" w14:textId="77777777" w:rsidR="0075264A" w:rsidRDefault="0075264A" w:rsidP="0075264A">
      <w:pPr>
        <w:jc w:val="both"/>
      </w:pPr>
    </w:p>
    <w:p w14:paraId="0DFFC0A9" w14:textId="1E753005" w:rsidR="0075264A" w:rsidRDefault="0075264A" w:rsidP="0075264A">
      <w:pPr>
        <w:jc w:val="both"/>
      </w:pPr>
      <w:r>
        <w:t>Intel/Info is now shared to keep the public safe, within clearly defined boundaries. If you had told me in 1991 that I would be chairing multi agency meetings via Microsoft Teams and have access to a range of electronic systems, I would have requested a drug test (which is ironic as we didn’t have them in 1991 either).</w:t>
      </w:r>
    </w:p>
    <w:p w14:paraId="251B00D3" w14:textId="77777777" w:rsidR="0075264A" w:rsidRDefault="0075264A" w:rsidP="0075264A">
      <w:pPr>
        <w:jc w:val="both"/>
      </w:pPr>
    </w:p>
    <w:p w14:paraId="0CA2938F" w14:textId="36A5D94B" w:rsidR="0075264A" w:rsidRDefault="0075264A" w:rsidP="0075264A">
      <w:pPr>
        <w:jc w:val="both"/>
      </w:pPr>
      <w:r>
        <w:t>It is said that war is the engine of change, however in my experience it has been constant development/learning from serious and not so serious incidents, developing IT, which COVID really did put a rocket under, and agencies committing to working towards keeping our public safe.</w:t>
      </w:r>
    </w:p>
    <w:p w14:paraId="27F71F5D" w14:textId="77777777" w:rsidR="0075264A" w:rsidRDefault="0075264A" w:rsidP="0075264A">
      <w:pPr>
        <w:jc w:val="both"/>
      </w:pPr>
    </w:p>
    <w:p w14:paraId="39E50C2D" w14:textId="2B43D85C" w:rsidR="0075264A" w:rsidRDefault="0075264A" w:rsidP="0075264A">
      <w:pPr>
        <w:jc w:val="both"/>
      </w:pPr>
      <w:r>
        <w:t xml:space="preserve">What will this look in another 32 years in 2055, who knows? But at the pace of change I have personally experienced, I suspect technology will have developed in such a way that those who work to keep the Public safe in 2055 will look back at 2023 and think “Is that really how we worked?”  </w:t>
      </w:r>
    </w:p>
    <w:p w14:paraId="5B4F744D" w14:textId="77777777" w:rsidR="0075264A" w:rsidRDefault="0075264A" w:rsidP="0075264A">
      <w:pPr>
        <w:jc w:val="both"/>
      </w:pPr>
    </w:p>
    <w:p w14:paraId="001A056B" w14:textId="1E149221" w:rsidR="00CB75D3" w:rsidRDefault="0075264A" w:rsidP="0075264A">
      <w:pPr>
        <w:jc w:val="both"/>
      </w:pPr>
      <w:r>
        <w:t>Food for thought?</w:t>
      </w:r>
    </w:p>
    <w:p w14:paraId="7BB2FB68" w14:textId="1C63C00A" w:rsidR="0075264A" w:rsidRDefault="0075264A" w:rsidP="0075264A">
      <w:pPr>
        <w:jc w:val="both"/>
      </w:pPr>
    </w:p>
    <w:p w14:paraId="3CFBE7BB" w14:textId="26F5C8D0" w:rsidR="00CB75D3" w:rsidRDefault="00CB75D3" w:rsidP="00C353CF">
      <w:pPr>
        <w:jc w:val="both"/>
      </w:pPr>
    </w:p>
    <w:p w14:paraId="3E25A47C" w14:textId="4524097B" w:rsidR="00CB75D3" w:rsidRDefault="00CB75D3" w:rsidP="00C353CF">
      <w:pPr>
        <w:jc w:val="both"/>
      </w:pPr>
    </w:p>
    <w:p w14:paraId="128C84C2" w14:textId="33CDCE7C" w:rsidR="00CB75D3" w:rsidRDefault="00CB75D3" w:rsidP="00C353CF">
      <w:pPr>
        <w:jc w:val="both"/>
      </w:pPr>
    </w:p>
    <w:p w14:paraId="7CA838D3" w14:textId="5C98F727" w:rsidR="004C6460" w:rsidRDefault="004C6460" w:rsidP="00C353CF">
      <w:pPr>
        <w:jc w:val="both"/>
      </w:pPr>
    </w:p>
    <w:p w14:paraId="734E80C9" w14:textId="25AF9542" w:rsidR="004C6460" w:rsidRDefault="004C6460" w:rsidP="00ED25C1"/>
    <w:p w14:paraId="5BFDD0BA" w14:textId="333D61E9" w:rsidR="004C6460" w:rsidRDefault="004C6460" w:rsidP="00ED25C1"/>
    <w:p w14:paraId="2F72BCE4" w14:textId="5FC536E4" w:rsidR="005F28B2" w:rsidRDefault="005F28B2" w:rsidP="00ED25C1">
      <w:pPr>
        <w:rPr>
          <w:rFonts w:ascii="Arial" w:hAnsi="Arial" w:cs="Arial"/>
        </w:rPr>
      </w:pPr>
    </w:p>
    <w:p w14:paraId="3EEBD11E" w14:textId="77C24B6E" w:rsidR="001F6696" w:rsidRPr="0069414D" w:rsidRDefault="006F236C" w:rsidP="006F236C">
      <w:pPr>
        <w:pStyle w:val="MAPPA-Heaingsection"/>
        <w:rPr>
          <w:color w:val="7030A0"/>
        </w:rPr>
      </w:pPr>
      <w:r w:rsidRPr="0069414D">
        <w:rPr>
          <w:color w:val="7030A0"/>
        </w:rPr>
        <w:lastRenderedPageBreak/>
        <w:t>What is MAPPA?</w:t>
      </w:r>
    </w:p>
    <w:p w14:paraId="55065672" w14:textId="77777777" w:rsidR="006F236C" w:rsidRPr="007C7106" w:rsidRDefault="006F236C" w:rsidP="006F236C">
      <w:pPr>
        <w:pStyle w:val="Default"/>
        <w:pBdr>
          <w:bottom w:val="single" w:sz="4" w:space="1" w:color="007BC3"/>
        </w:pBdr>
        <w:rPr>
          <w:rFonts w:ascii="Arial" w:hAnsi="Arial" w:cs="Arial"/>
          <w:color w:val="FFFFFF"/>
          <w:sz w:val="16"/>
          <w:szCs w:val="16"/>
        </w:rPr>
      </w:pPr>
    </w:p>
    <w:p w14:paraId="7400CE85" w14:textId="77777777" w:rsidR="001F6696" w:rsidRPr="008D1CDE" w:rsidRDefault="001F6696" w:rsidP="001F6696">
      <w:pPr>
        <w:pStyle w:val="Style1"/>
        <w:jc w:val="both"/>
      </w:pPr>
      <w:r w:rsidRPr="008D1CDE">
        <w:t>MAPPA background</w:t>
      </w:r>
    </w:p>
    <w:p w14:paraId="5DFFC81D" w14:textId="77777777" w:rsidR="001F6696" w:rsidRPr="00206B09" w:rsidRDefault="001F6696" w:rsidP="001F6696">
      <w:pPr>
        <w:pStyle w:val="MAPPA-Bodytext-numbered"/>
        <w:ind w:left="0" w:firstLine="0"/>
        <w:jc w:val="both"/>
        <w:rPr>
          <w:sz w:val="24"/>
          <w:szCs w:val="24"/>
          <w:lang w:val="en-GB"/>
        </w:rPr>
      </w:pPr>
      <w:r w:rsidRPr="00206B09">
        <w:rPr>
          <w:sz w:val="24"/>
          <w:szCs w:val="24"/>
          <w:lang w:val="en-GB"/>
        </w:rPr>
        <w:t xml:space="preserve">MAPPA (Multi-Agency Public Protection Arrangements) are a set of arrangements to manage the risk posed by </w:t>
      </w:r>
      <w:r>
        <w:rPr>
          <w:sz w:val="24"/>
          <w:szCs w:val="24"/>
          <w:lang w:val="en-GB"/>
        </w:rPr>
        <w:t xml:space="preserve">individuals who have committed </w:t>
      </w:r>
      <w:r w:rsidRPr="00206B09">
        <w:rPr>
          <w:sz w:val="24"/>
          <w:szCs w:val="24"/>
          <w:lang w:val="en-GB"/>
        </w:rPr>
        <w:t>the most serious sexual, violent and terrorist offen</w:t>
      </w:r>
      <w:r>
        <w:rPr>
          <w:sz w:val="24"/>
          <w:szCs w:val="24"/>
          <w:lang w:val="en-GB"/>
        </w:rPr>
        <w:t>ces</w:t>
      </w:r>
      <w:r w:rsidRPr="00206B09">
        <w:rPr>
          <w:sz w:val="24"/>
          <w:szCs w:val="24"/>
          <w:lang w:val="en-GB"/>
        </w:rPr>
        <w:t xml:space="preserve"> (MAPPA-eligible </w:t>
      </w:r>
      <w:r>
        <w:rPr>
          <w:sz w:val="24"/>
          <w:szCs w:val="24"/>
          <w:lang w:val="en-GB"/>
        </w:rPr>
        <w:t>individuals</w:t>
      </w:r>
      <w:r w:rsidRPr="00206B09">
        <w:rPr>
          <w:sz w:val="24"/>
          <w:szCs w:val="24"/>
          <w:lang w:val="en-GB"/>
        </w:rPr>
        <w:t>) under the provisions of sections 325 to 327B of the Criminal Justice Act 2003.</w:t>
      </w:r>
    </w:p>
    <w:p w14:paraId="38ACEDDB" w14:textId="77777777" w:rsidR="001F6696" w:rsidRPr="00206B09" w:rsidRDefault="001F6696" w:rsidP="001F6696">
      <w:pPr>
        <w:pStyle w:val="MAPPA-Bodytext-numbered"/>
        <w:ind w:left="0" w:firstLine="0"/>
        <w:jc w:val="both"/>
        <w:rPr>
          <w:sz w:val="24"/>
          <w:szCs w:val="24"/>
          <w:lang w:val="en-GB"/>
        </w:rPr>
      </w:pPr>
      <w:r w:rsidRPr="00206B09">
        <w:rPr>
          <w:sz w:val="24"/>
          <w:szCs w:val="24"/>
          <w:lang w:val="en-GB"/>
        </w:rPr>
        <w:t>They bring together the Police, Probation and Prison Services in each of the 42 Areas in England and Wales into what is known as the MAPPA Responsible Authority.</w:t>
      </w:r>
    </w:p>
    <w:p w14:paraId="5D2DC4EC" w14:textId="77777777" w:rsidR="001F6696" w:rsidRPr="00206B09" w:rsidRDefault="001F6696" w:rsidP="001F6696">
      <w:pPr>
        <w:pStyle w:val="MAPPA-Bodytext-numbered"/>
        <w:ind w:left="0" w:firstLine="0"/>
        <w:jc w:val="both"/>
        <w:rPr>
          <w:sz w:val="24"/>
          <w:szCs w:val="24"/>
          <w:lang w:val="en-GB"/>
        </w:rPr>
      </w:pPr>
      <w:r w:rsidRPr="00206B09">
        <w:rPr>
          <w:sz w:val="24"/>
          <w:szCs w:val="24"/>
          <w:lang w:val="en-GB"/>
        </w:rPr>
        <w:t>A number of other agencies are under a Duty to Co-operate (DTC) with the Responsible Authority. These include Social Services, Health Services, Youth Offending Teams, Department for Work and Pensions and Local Housing and Education Authorities.</w:t>
      </w:r>
    </w:p>
    <w:p w14:paraId="3FE86DD2" w14:textId="77777777" w:rsidR="001F6696" w:rsidRPr="00206B09" w:rsidRDefault="001F6696" w:rsidP="001F6696">
      <w:pPr>
        <w:pStyle w:val="MAPPA-Bodytext-numbered"/>
        <w:ind w:left="0" w:firstLine="0"/>
        <w:jc w:val="both"/>
        <w:rPr>
          <w:sz w:val="24"/>
          <w:szCs w:val="24"/>
          <w:lang w:val="en-GB"/>
        </w:rPr>
      </w:pPr>
      <w:r w:rsidRPr="00206B09">
        <w:rPr>
          <w:sz w:val="24"/>
          <w:szCs w:val="24"/>
          <w:lang w:val="en-GB"/>
        </w:rPr>
        <w:t xml:space="preserve">Local Strategic Management Boards (SMB) comprising senior representatives from each of the Responsible Authority and DTC agencies are responsible for delivering MAPPA within their respective areas. The Responsible Authority is also required to appoint two Lay Advisers to sit on each MAPPA SMB. </w:t>
      </w:r>
    </w:p>
    <w:p w14:paraId="52C9F432" w14:textId="77777777" w:rsidR="001F6696" w:rsidRPr="00206B09" w:rsidRDefault="001F6696" w:rsidP="001F6696">
      <w:pPr>
        <w:pStyle w:val="MAPPA-Bodytext-numbered"/>
        <w:ind w:left="0" w:firstLine="0"/>
        <w:jc w:val="both"/>
        <w:rPr>
          <w:sz w:val="24"/>
          <w:szCs w:val="24"/>
          <w:lang w:val="en-GB"/>
        </w:rPr>
      </w:pPr>
      <w:r w:rsidRPr="00206B09">
        <w:rPr>
          <w:sz w:val="24"/>
          <w:szCs w:val="24"/>
          <w:lang w:val="en-GB"/>
        </w:rPr>
        <w:t>Lay Advisers are members of the public appointed by the Minister with no links to the business of managing MAPPA</w:t>
      </w:r>
      <w:r>
        <w:rPr>
          <w:sz w:val="24"/>
          <w:szCs w:val="24"/>
          <w:lang w:val="en-GB"/>
        </w:rPr>
        <w:t>-eligible individuals</w:t>
      </w:r>
      <w:r w:rsidRPr="00206B09">
        <w:rPr>
          <w:sz w:val="24"/>
          <w:szCs w:val="24"/>
          <w:lang w:val="en-GB"/>
        </w:rPr>
        <w:t xml:space="preserve"> act as independent, yet informed, observers; able to pose questions which the professionals closely involved in the work might not think of asking. They also bring to the SMB their understanding and perspective of the local community (where they must reside and have strong links).</w:t>
      </w:r>
    </w:p>
    <w:p w14:paraId="28A9F303" w14:textId="77777777" w:rsidR="001F6696" w:rsidRPr="006A45B8" w:rsidRDefault="001F6696" w:rsidP="001F6696">
      <w:pPr>
        <w:pStyle w:val="Style1"/>
        <w:jc w:val="both"/>
      </w:pPr>
      <w:r w:rsidRPr="006A45B8">
        <w:t>How MAPPA works</w:t>
      </w:r>
    </w:p>
    <w:p w14:paraId="1ADC938F" w14:textId="77777777" w:rsidR="001F6696" w:rsidRPr="00206B09" w:rsidRDefault="001F6696" w:rsidP="001F6696">
      <w:pPr>
        <w:pStyle w:val="MAPPA-Bodytext"/>
        <w:jc w:val="both"/>
        <w:rPr>
          <w:sz w:val="24"/>
          <w:szCs w:val="24"/>
          <w:lang w:val="en-GB"/>
        </w:rPr>
      </w:pPr>
      <w:r w:rsidRPr="00206B09">
        <w:rPr>
          <w:sz w:val="24"/>
          <w:szCs w:val="24"/>
          <w:lang w:val="en-GB"/>
        </w:rPr>
        <w:t xml:space="preserve">MAPPA-eligible </w:t>
      </w:r>
      <w:r>
        <w:rPr>
          <w:sz w:val="24"/>
          <w:szCs w:val="24"/>
          <w:lang w:val="en-GB"/>
        </w:rPr>
        <w:t>individuals</w:t>
      </w:r>
      <w:r w:rsidRPr="00206B09">
        <w:rPr>
          <w:sz w:val="24"/>
          <w:szCs w:val="24"/>
          <w:lang w:val="en-GB"/>
        </w:rPr>
        <w:t xml:space="preserve"> are identified and information about them is shared between agencies to inform the risk assessments and risk management plans of those managing or supervising them.</w:t>
      </w:r>
    </w:p>
    <w:p w14:paraId="1B1583C8" w14:textId="77777777" w:rsidR="001F6696" w:rsidRPr="00206B09" w:rsidRDefault="001F6696" w:rsidP="001F6696">
      <w:pPr>
        <w:pStyle w:val="MAPPA-Bodytext"/>
        <w:jc w:val="both"/>
        <w:rPr>
          <w:sz w:val="24"/>
          <w:szCs w:val="24"/>
          <w:lang w:val="en-GB"/>
        </w:rPr>
      </w:pPr>
      <w:r w:rsidRPr="00206B09">
        <w:rPr>
          <w:sz w:val="24"/>
          <w:szCs w:val="24"/>
          <w:lang w:val="en-GB"/>
        </w:rPr>
        <w:t>That is as far as MAPPA extend in the majority of cases, but some cases require more senior oversight and structured multi-agency management. In such cases there will be regular MAPPA meetings attended by relevant agency practitioners.</w:t>
      </w:r>
    </w:p>
    <w:p w14:paraId="236D574A" w14:textId="77777777" w:rsidR="001F6696" w:rsidRPr="00206B09" w:rsidRDefault="001F6696" w:rsidP="001F6696">
      <w:pPr>
        <w:pStyle w:val="MAPPA-Bodytext"/>
        <w:jc w:val="both"/>
        <w:rPr>
          <w:sz w:val="24"/>
          <w:szCs w:val="24"/>
          <w:lang w:val="en-GB"/>
        </w:rPr>
      </w:pPr>
      <w:r w:rsidRPr="00206B09">
        <w:rPr>
          <w:sz w:val="24"/>
          <w:szCs w:val="24"/>
          <w:lang w:val="en-GB"/>
        </w:rPr>
        <w:t xml:space="preserve">There are </w:t>
      </w:r>
      <w:r>
        <w:rPr>
          <w:sz w:val="24"/>
          <w:szCs w:val="24"/>
          <w:lang w:val="en-GB"/>
        </w:rPr>
        <w:t>4</w:t>
      </w:r>
      <w:r w:rsidRPr="00206B09">
        <w:rPr>
          <w:sz w:val="24"/>
          <w:szCs w:val="24"/>
          <w:lang w:val="en-GB"/>
        </w:rPr>
        <w:t xml:space="preserve"> categories of MAPPA-eligible </w:t>
      </w:r>
      <w:r>
        <w:rPr>
          <w:sz w:val="24"/>
          <w:szCs w:val="24"/>
          <w:lang w:val="en-GB"/>
        </w:rPr>
        <w:t>individual</w:t>
      </w:r>
      <w:r w:rsidRPr="00206B09">
        <w:rPr>
          <w:sz w:val="24"/>
          <w:szCs w:val="24"/>
          <w:lang w:val="en-GB"/>
        </w:rPr>
        <w:t xml:space="preserve">: </w:t>
      </w:r>
    </w:p>
    <w:p w14:paraId="34BA7E3C" w14:textId="0763E025" w:rsidR="001F6696" w:rsidRPr="00206B09" w:rsidRDefault="001F6696" w:rsidP="001F6696">
      <w:pPr>
        <w:pStyle w:val="MAPPA-Bodytext"/>
        <w:numPr>
          <w:ilvl w:val="0"/>
          <w:numId w:val="1"/>
        </w:numPr>
        <w:jc w:val="both"/>
        <w:rPr>
          <w:sz w:val="24"/>
          <w:szCs w:val="24"/>
          <w:lang w:val="en-GB"/>
        </w:rPr>
      </w:pPr>
      <w:r w:rsidRPr="00206B09">
        <w:rPr>
          <w:b/>
          <w:sz w:val="24"/>
          <w:szCs w:val="24"/>
          <w:lang w:val="en-GB"/>
        </w:rPr>
        <w:t>Category 1</w:t>
      </w:r>
      <w:r w:rsidRPr="00206B09">
        <w:rPr>
          <w:sz w:val="24"/>
          <w:szCs w:val="24"/>
          <w:lang w:val="en-GB"/>
        </w:rPr>
        <w:t xml:space="preserve"> –subject to sex offender notification requirements. </w:t>
      </w:r>
    </w:p>
    <w:p w14:paraId="7189A128" w14:textId="44BDA888" w:rsidR="001F6696" w:rsidRPr="00206B09" w:rsidRDefault="001F6696" w:rsidP="001F6696">
      <w:pPr>
        <w:pStyle w:val="MAPPA-Bodytext"/>
        <w:numPr>
          <w:ilvl w:val="0"/>
          <w:numId w:val="1"/>
        </w:numPr>
        <w:jc w:val="both"/>
        <w:rPr>
          <w:sz w:val="24"/>
          <w:szCs w:val="24"/>
          <w:lang w:val="en-GB"/>
        </w:rPr>
      </w:pPr>
      <w:r w:rsidRPr="00206B09">
        <w:rPr>
          <w:b/>
          <w:sz w:val="24"/>
          <w:szCs w:val="24"/>
          <w:lang w:val="en-GB"/>
        </w:rPr>
        <w:t>Category 2</w:t>
      </w:r>
      <w:r w:rsidRPr="00206B09">
        <w:rPr>
          <w:sz w:val="24"/>
          <w:szCs w:val="24"/>
          <w:lang w:val="en-GB"/>
        </w:rPr>
        <w:t xml:space="preserve"> – mainly violent offenders sentenced to 12 months or more imprisonment or a hospital order. </w:t>
      </w:r>
    </w:p>
    <w:p w14:paraId="47F861CF" w14:textId="77777777" w:rsidR="001F6696" w:rsidRDefault="001F6696" w:rsidP="001F6696">
      <w:pPr>
        <w:pStyle w:val="MAPPA-Bodytext"/>
        <w:numPr>
          <w:ilvl w:val="0"/>
          <w:numId w:val="1"/>
        </w:numPr>
        <w:jc w:val="both"/>
        <w:rPr>
          <w:sz w:val="24"/>
          <w:szCs w:val="24"/>
          <w:lang w:val="en-GB"/>
        </w:rPr>
      </w:pPr>
      <w:r w:rsidRPr="00206B09">
        <w:rPr>
          <w:b/>
          <w:sz w:val="24"/>
          <w:szCs w:val="24"/>
          <w:lang w:val="en-GB"/>
        </w:rPr>
        <w:t>Category 3</w:t>
      </w:r>
      <w:r w:rsidRPr="00206B09">
        <w:rPr>
          <w:sz w:val="24"/>
          <w:szCs w:val="24"/>
          <w:lang w:val="en-GB"/>
        </w:rPr>
        <w:t xml:space="preserve"> – </w:t>
      </w:r>
      <w:r>
        <w:rPr>
          <w:sz w:val="24"/>
          <w:szCs w:val="24"/>
          <w:lang w:val="en-GB"/>
        </w:rPr>
        <w:t>individuals</w:t>
      </w:r>
      <w:r w:rsidRPr="00206B09">
        <w:rPr>
          <w:sz w:val="24"/>
          <w:szCs w:val="24"/>
          <w:lang w:val="en-GB"/>
        </w:rPr>
        <w:t xml:space="preserve"> who do not qualify under Categories 1</w:t>
      </w:r>
      <w:r>
        <w:rPr>
          <w:sz w:val="24"/>
          <w:szCs w:val="24"/>
          <w:lang w:val="en-GB"/>
        </w:rPr>
        <w:t>,</w:t>
      </w:r>
      <w:r w:rsidRPr="00206B09">
        <w:rPr>
          <w:sz w:val="24"/>
          <w:szCs w:val="24"/>
          <w:lang w:val="en-GB"/>
        </w:rPr>
        <w:t xml:space="preserve"> 2 </w:t>
      </w:r>
      <w:r>
        <w:rPr>
          <w:sz w:val="24"/>
          <w:szCs w:val="24"/>
          <w:lang w:val="en-GB"/>
        </w:rPr>
        <w:t xml:space="preserve">or 4 </w:t>
      </w:r>
      <w:r w:rsidRPr="00206B09">
        <w:rPr>
          <w:sz w:val="24"/>
          <w:szCs w:val="24"/>
          <w:lang w:val="en-GB"/>
        </w:rPr>
        <w:t>but who</w:t>
      </w:r>
      <w:r>
        <w:rPr>
          <w:sz w:val="24"/>
          <w:szCs w:val="24"/>
          <w:lang w:val="en-GB"/>
        </w:rPr>
        <w:t>se offences</w:t>
      </w:r>
      <w:r w:rsidRPr="00206B09">
        <w:rPr>
          <w:sz w:val="24"/>
          <w:szCs w:val="24"/>
          <w:lang w:val="en-GB"/>
        </w:rPr>
        <w:t xml:space="preserve"> pose a risk of serious harm. </w:t>
      </w:r>
    </w:p>
    <w:p w14:paraId="1ECD19CB" w14:textId="77777777" w:rsidR="001F6696" w:rsidRPr="00206B09" w:rsidRDefault="001F6696" w:rsidP="001F6696">
      <w:pPr>
        <w:pStyle w:val="MAPPA-Bodytext"/>
        <w:numPr>
          <w:ilvl w:val="0"/>
          <w:numId w:val="1"/>
        </w:numPr>
        <w:jc w:val="both"/>
        <w:rPr>
          <w:sz w:val="24"/>
          <w:szCs w:val="24"/>
          <w:lang w:val="en-GB"/>
        </w:rPr>
      </w:pPr>
      <w:r>
        <w:rPr>
          <w:b/>
          <w:sz w:val="24"/>
          <w:szCs w:val="24"/>
          <w:lang w:val="en-GB"/>
        </w:rPr>
        <w:t xml:space="preserve">Category 4 </w:t>
      </w:r>
      <w:r>
        <w:rPr>
          <w:bCs/>
          <w:sz w:val="24"/>
          <w:szCs w:val="24"/>
          <w:lang w:val="en-GB"/>
        </w:rPr>
        <w:t>– terrorism convicted and terrorism risk individuals</w:t>
      </w:r>
    </w:p>
    <w:p w14:paraId="3D63412F" w14:textId="505C48B5" w:rsidR="001F6696" w:rsidRPr="00206B09" w:rsidRDefault="001F6696" w:rsidP="001F6696">
      <w:pPr>
        <w:pStyle w:val="MAPPA-Bodytext"/>
        <w:jc w:val="both"/>
        <w:rPr>
          <w:sz w:val="24"/>
          <w:szCs w:val="24"/>
          <w:lang w:val="en-GB"/>
        </w:rPr>
      </w:pPr>
      <w:r w:rsidRPr="00206B09">
        <w:rPr>
          <w:sz w:val="24"/>
          <w:szCs w:val="24"/>
          <w:lang w:val="en-GB"/>
        </w:rPr>
        <w:t xml:space="preserve">There are three levels of management to ensure that resources are focused where they are most needed: generally those presenting the higher risks of serious harm. </w:t>
      </w:r>
    </w:p>
    <w:p w14:paraId="23C88A02" w14:textId="57A64820" w:rsidR="001F6696" w:rsidRPr="00206B09" w:rsidRDefault="001F6696" w:rsidP="001F6696">
      <w:pPr>
        <w:pStyle w:val="MAPPA-Bodytext"/>
        <w:numPr>
          <w:ilvl w:val="0"/>
          <w:numId w:val="2"/>
        </w:numPr>
        <w:jc w:val="both"/>
        <w:rPr>
          <w:sz w:val="24"/>
          <w:szCs w:val="24"/>
          <w:lang w:val="en-GB"/>
        </w:rPr>
      </w:pPr>
      <w:r w:rsidRPr="00206B09">
        <w:rPr>
          <w:b/>
          <w:sz w:val="24"/>
          <w:szCs w:val="24"/>
          <w:lang w:val="en-GB"/>
        </w:rPr>
        <w:t>Level 1</w:t>
      </w:r>
      <w:r w:rsidRPr="00206B09">
        <w:rPr>
          <w:sz w:val="24"/>
          <w:szCs w:val="24"/>
          <w:lang w:val="en-GB"/>
        </w:rPr>
        <w:t xml:space="preserve"> is where the </w:t>
      </w:r>
      <w:r>
        <w:rPr>
          <w:sz w:val="24"/>
          <w:szCs w:val="24"/>
          <w:lang w:val="en-GB"/>
        </w:rPr>
        <w:t>individual</w:t>
      </w:r>
      <w:r w:rsidRPr="00206B09">
        <w:rPr>
          <w:sz w:val="24"/>
          <w:szCs w:val="24"/>
          <w:lang w:val="en-GB"/>
        </w:rPr>
        <w:t xml:space="preserve"> is managed by the lead agency with information exchange and </w:t>
      </w:r>
      <w:r w:rsidRPr="00C53F03">
        <w:rPr>
          <w:b/>
          <w:bCs/>
          <w:sz w:val="24"/>
          <w:szCs w:val="24"/>
          <w:lang w:val="en-GB"/>
        </w:rPr>
        <w:t>multi-agency support</w:t>
      </w:r>
      <w:r w:rsidRPr="00206B09">
        <w:rPr>
          <w:sz w:val="24"/>
          <w:szCs w:val="24"/>
          <w:lang w:val="en-GB"/>
        </w:rPr>
        <w:t xml:space="preserve"> as required but without formal MAPPA meetings. </w:t>
      </w:r>
    </w:p>
    <w:p w14:paraId="5F6331B6" w14:textId="77777777" w:rsidR="001F6696" w:rsidRPr="00206B09" w:rsidRDefault="001F6696" w:rsidP="001F6696">
      <w:pPr>
        <w:pStyle w:val="MAPPA-Bodytext"/>
        <w:numPr>
          <w:ilvl w:val="0"/>
          <w:numId w:val="2"/>
        </w:numPr>
        <w:jc w:val="both"/>
        <w:rPr>
          <w:sz w:val="24"/>
          <w:szCs w:val="24"/>
          <w:lang w:val="en-GB"/>
        </w:rPr>
      </w:pPr>
      <w:r w:rsidRPr="00206B09">
        <w:rPr>
          <w:b/>
          <w:sz w:val="24"/>
          <w:szCs w:val="24"/>
          <w:lang w:val="en-GB"/>
        </w:rPr>
        <w:t>Level 2</w:t>
      </w:r>
      <w:r w:rsidRPr="00206B09">
        <w:rPr>
          <w:sz w:val="24"/>
          <w:szCs w:val="24"/>
          <w:lang w:val="en-GB"/>
        </w:rPr>
        <w:t xml:space="preserve"> is where formal MAPPA meetings are required to manage the </w:t>
      </w:r>
      <w:r>
        <w:rPr>
          <w:sz w:val="24"/>
          <w:szCs w:val="24"/>
          <w:lang w:val="en-GB"/>
        </w:rPr>
        <w:t>individual</w:t>
      </w:r>
      <w:r w:rsidRPr="00206B09">
        <w:rPr>
          <w:sz w:val="24"/>
          <w:szCs w:val="24"/>
          <w:lang w:val="en-GB"/>
        </w:rPr>
        <w:t xml:space="preserve">. </w:t>
      </w:r>
    </w:p>
    <w:p w14:paraId="7B76FBCA" w14:textId="77777777" w:rsidR="001F6696" w:rsidRPr="00206B09" w:rsidRDefault="001F6696" w:rsidP="001F6696">
      <w:pPr>
        <w:pStyle w:val="MAPPA-Bodytext"/>
        <w:numPr>
          <w:ilvl w:val="0"/>
          <w:numId w:val="2"/>
        </w:numPr>
        <w:jc w:val="both"/>
        <w:rPr>
          <w:sz w:val="24"/>
          <w:szCs w:val="24"/>
          <w:lang w:val="en-GB"/>
        </w:rPr>
      </w:pPr>
      <w:r w:rsidRPr="00206B09">
        <w:rPr>
          <w:b/>
          <w:sz w:val="24"/>
          <w:szCs w:val="24"/>
          <w:lang w:val="en-GB"/>
        </w:rPr>
        <w:lastRenderedPageBreak/>
        <w:t xml:space="preserve">Level 3 </w:t>
      </w:r>
      <w:r w:rsidRPr="00206B09">
        <w:rPr>
          <w:sz w:val="24"/>
          <w:szCs w:val="24"/>
          <w:lang w:val="en-GB"/>
        </w:rPr>
        <w:t xml:space="preserve">is where risk management plans require the attendance and commitment of resources at a senior level at MAPPA meetings. </w:t>
      </w:r>
    </w:p>
    <w:p w14:paraId="1EA66B12" w14:textId="77777777" w:rsidR="001F6696" w:rsidRPr="00206B09" w:rsidRDefault="001F6696" w:rsidP="001F6696">
      <w:pPr>
        <w:pStyle w:val="MAPPA-Bodytext"/>
        <w:jc w:val="both"/>
        <w:rPr>
          <w:sz w:val="24"/>
          <w:szCs w:val="24"/>
          <w:lang w:val="en-GB"/>
        </w:rPr>
      </w:pPr>
      <w:r w:rsidRPr="00206B09">
        <w:rPr>
          <w:sz w:val="24"/>
          <w:szCs w:val="24"/>
          <w:lang w:val="en-GB"/>
        </w:rPr>
        <w:t xml:space="preserve">MAPPA are supported by ViSOR. This is a national IT system to assist in the management of </w:t>
      </w:r>
      <w:r>
        <w:rPr>
          <w:sz w:val="24"/>
          <w:szCs w:val="24"/>
          <w:lang w:val="en-GB"/>
        </w:rPr>
        <w:t>individuals</w:t>
      </w:r>
      <w:r w:rsidRPr="00206B09">
        <w:rPr>
          <w:sz w:val="24"/>
          <w:szCs w:val="24"/>
          <w:lang w:val="en-GB"/>
        </w:rPr>
        <w:t xml:space="preserve"> who pose a serious risk of harm to the public. The use of ViSOR increases the ability to share intelligence across organisations and enables the safe transfer of key information when high risk </w:t>
      </w:r>
      <w:r>
        <w:rPr>
          <w:sz w:val="24"/>
          <w:szCs w:val="24"/>
          <w:lang w:val="en-GB"/>
        </w:rPr>
        <w:t>individuals</w:t>
      </w:r>
      <w:r w:rsidRPr="00206B09">
        <w:rPr>
          <w:sz w:val="24"/>
          <w:szCs w:val="24"/>
          <w:lang w:val="en-GB"/>
        </w:rPr>
        <w:t xml:space="preserve"> move</w:t>
      </w:r>
      <w:r>
        <w:rPr>
          <w:sz w:val="24"/>
          <w:szCs w:val="24"/>
          <w:lang w:val="en-GB"/>
        </w:rPr>
        <w:t xml:space="preserve"> between areas</w:t>
      </w:r>
      <w:r w:rsidRPr="00206B09">
        <w:rPr>
          <w:sz w:val="24"/>
          <w:szCs w:val="24"/>
          <w:lang w:val="en-GB"/>
        </w:rPr>
        <w:t xml:space="preserve">, enhancing public protection measures. ViSOR allows staff from the Police, Probation and Prison Services to work on the same IT system, improving the quality and timeliness of risk assessments and interventions to prevent offending. </w:t>
      </w:r>
    </w:p>
    <w:p w14:paraId="71666096" w14:textId="77777777" w:rsidR="001F6696" w:rsidRPr="006A45B8" w:rsidRDefault="001F6696" w:rsidP="001F6696">
      <w:pPr>
        <w:pStyle w:val="Style1"/>
        <w:jc w:val="both"/>
      </w:pPr>
      <w:r w:rsidRPr="006A45B8">
        <w:t xml:space="preserve">MAPPA and Terrorism </w:t>
      </w:r>
    </w:p>
    <w:p w14:paraId="7F944C88" w14:textId="77777777" w:rsidR="001F6696" w:rsidRPr="00206B09" w:rsidRDefault="001F6696" w:rsidP="001F6696">
      <w:pPr>
        <w:pStyle w:val="MAPPA-Bodytext"/>
        <w:jc w:val="both"/>
        <w:rPr>
          <w:sz w:val="24"/>
          <w:szCs w:val="24"/>
          <w:lang w:val="en-GB"/>
        </w:rPr>
      </w:pPr>
      <w:r w:rsidRPr="00206B09">
        <w:rPr>
          <w:sz w:val="24"/>
          <w:szCs w:val="24"/>
          <w:lang w:val="en-GB"/>
        </w:rPr>
        <w:t>The government published an Independent Review of the MAPPA used to Supervise Terroris</w:t>
      </w:r>
      <w:r>
        <w:rPr>
          <w:sz w:val="24"/>
          <w:szCs w:val="24"/>
          <w:lang w:val="en-GB"/>
        </w:rPr>
        <w:t>m</w:t>
      </w:r>
      <w:r w:rsidRPr="00206B09">
        <w:rPr>
          <w:sz w:val="24"/>
          <w:szCs w:val="24"/>
          <w:lang w:val="en-GB"/>
        </w:rPr>
        <w:t xml:space="preserve"> and Terrorism-risk </w:t>
      </w:r>
      <w:r>
        <w:rPr>
          <w:sz w:val="24"/>
          <w:szCs w:val="24"/>
          <w:lang w:val="en-GB"/>
        </w:rPr>
        <w:t>individuals</w:t>
      </w:r>
      <w:r w:rsidRPr="00206B09">
        <w:rPr>
          <w:sz w:val="24"/>
          <w:szCs w:val="24"/>
          <w:lang w:val="en-GB"/>
        </w:rPr>
        <w:t xml:space="preserve"> on 2 September 2020 and published its response on 9 December. Both documents are available at </w:t>
      </w:r>
      <w:hyperlink r:id="rId16" w:history="1">
        <w:r w:rsidRPr="00206B09">
          <w:rPr>
            <w:rStyle w:val="Hyperlink"/>
            <w:rFonts w:cs="Arial"/>
            <w:sz w:val="24"/>
            <w:szCs w:val="24"/>
            <w:lang w:val="en-GB"/>
          </w:rPr>
          <w:t>https://www.gov.uk/government/publications/multi-agency-public-protection-arrangements-review</w:t>
        </w:r>
      </w:hyperlink>
      <w:r w:rsidRPr="00206B09">
        <w:rPr>
          <w:rStyle w:val="Hyperlink"/>
          <w:rFonts w:cs="Arial"/>
          <w:sz w:val="24"/>
          <w:szCs w:val="24"/>
          <w:lang w:val="en-GB"/>
        </w:rPr>
        <w:t xml:space="preserve">. </w:t>
      </w:r>
      <w:r w:rsidRPr="00206B09">
        <w:rPr>
          <w:sz w:val="24"/>
          <w:szCs w:val="24"/>
          <w:lang w:val="en-GB"/>
        </w:rPr>
        <w:t xml:space="preserve">The report made a number of recommendations, </w:t>
      </w:r>
      <w:r>
        <w:rPr>
          <w:sz w:val="24"/>
          <w:szCs w:val="24"/>
          <w:lang w:val="en-GB"/>
        </w:rPr>
        <w:t xml:space="preserve">the majority </w:t>
      </w:r>
      <w:r w:rsidRPr="00206B09">
        <w:rPr>
          <w:sz w:val="24"/>
          <w:szCs w:val="24"/>
          <w:lang w:val="en-GB"/>
        </w:rPr>
        <w:t>of which have been implemented</w:t>
      </w:r>
      <w:r>
        <w:rPr>
          <w:sz w:val="24"/>
          <w:szCs w:val="24"/>
          <w:lang w:val="en-GB"/>
        </w:rPr>
        <w:t>, including</w:t>
      </w:r>
      <w:r w:rsidRPr="00206B09">
        <w:rPr>
          <w:sz w:val="24"/>
          <w:szCs w:val="24"/>
          <w:lang w:val="en-GB"/>
        </w:rPr>
        <w:t xml:space="preserve"> via the Counter-Terrorism and Sentencing Act 2021 and the Police, Crime, Sentencing and Courts Act 2022. The Secretary of State has also revised the statutory MAPPA Guidance on terroris</w:t>
      </w:r>
      <w:r>
        <w:rPr>
          <w:sz w:val="24"/>
          <w:szCs w:val="24"/>
          <w:lang w:val="en-GB"/>
        </w:rPr>
        <w:t>m</w:t>
      </w:r>
      <w:r w:rsidRPr="00206B09">
        <w:rPr>
          <w:sz w:val="24"/>
          <w:szCs w:val="24"/>
          <w:lang w:val="en-GB"/>
        </w:rPr>
        <w:t xml:space="preserve"> offenders.</w:t>
      </w:r>
    </w:p>
    <w:p w14:paraId="7748E8ED" w14:textId="77777777" w:rsidR="001F6696" w:rsidRPr="00206B09" w:rsidRDefault="001F6696" w:rsidP="001F6696">
      <w:pPr>
        <w:pStyle w:val="MAPPA-Bodytext"/>
        <w:jc w:val="both"/>
        <w:rPr>
          <w:sz w:val="24"/>
          <w:szCs w:val="24"/>
          <w:lang w:val="en-GB"/>
        </w:rPr>
      </w:pPr>
      <w:r w:rsidRPr="00206B09">
        <w:rPr>
          <w:sz w:val="24"/>
          <w:szCs w:val="24"/>
          <w:lang w:val="en-GB"/>
        </w:rPr>
        <w:t xml:space="preserve">The Probation Service, via its National Security Division, has created a specialist dedicated and highly skilled workforce, which provides an enhanced level of management and intervention for the most high-risk, complex and high-profile </w:t>
      </w:r>
      <w:r>
        <w:rPr>
          <w:sz w:val="24"/>
          <w:szCs w:val="24"/>
          <w:lang w:val="en-GB"/>
        </w:rPr>
        <w:t>individuals</w:t>
      </w:r>
      <w:r w:rsidRPr="00206B09">
        <w:rPr>
          <w:sz w:val="24"/>
          <w:szCs w:val="24"/>
          <w:lang w:val="en-GB"/>
        </w:rPr>
        <w:t xml:space="preserve"> in the community. This includes the management of terrorist connected and terrorist risk offenders. The NSD and Counter-Terrorism Policing work closely with local SMBs to ensure the robust management of terrorism cases.</w:t>
      </w:r>
      <w:r>
        <w:rPr>
          <w:sz w:val="24"/>
          <w:szCs w:val="24"/>
          <w:lang w:val="en-GB"/>
        </w:rPr>
        <w:t xml:space="preserve"> Data on Category 4 individuals is not included in this report due to data protection issues related to low numbers. This data will be aggregated and published nationally.</w:t>
      </w:r>
    </w:p>
    <w:p w14:paraId="431CBF1D" w14:textId="77777777" w:rsidR="001F6696" w:rsidRPr="00206B09" w:rsidRDefault="001F6696" w:rsidP="001F6696">
      <w:pPr>
        <w:pStyle w:val="MAPPA-Bodytext"/>
        <w:jc w:val="both"/>
        <w:rPr>
          <w:sz w:val="24"/>
          <w:szCs w:val="24"/>
          <w:lang w:val="en-GB"/>
        </w:rPr>
      </w:pPr>
      <w:r w:rsidRPr="00206B09">
        <w:rPr>
          <w:sz w:val="24"/>
          <w:szCs w:val="24"/>
          <w:lang w:val="en-GB"/>
        </w:rPr>
        <w:t xml:space="preserve">All MAPPA reports from England and Wales are published online at: </w:t>
      </w:r>
      <w:hyperlink r:id="rId17" w:history="1">
        <w:r w:rsidRPr="00206B09">
          <w:rPr>
            <w:rStyle w:val="Hyperlink"/>
            <w:sz w:val="24"/>
            <w:szCs w:val="24"/>
            <w:lang w:val="en-GB"/>
          </w:rPr>
          <w:t>www.gov.uk</w:t>
        </w:r>
      </w:hyperlink>
      <w:r w:rsidRPr="00206B09">
        <w:rPr>
          <w:sz w:val="24"/>
          <w:szCs w:val="24"/>
          <w:lang w:val="en-GB"/>
        </w:rPr>
        <w:t xml:space="preserve"> </w:t>
      </w:r>
    </w:p>
    <w:p w14:paraId="6F2F36EB" w14:textId="326DECB2" w:rsidR="001F6696" w:rsidRDefault="001F6696" w:rsidP="006F236C">
      <w:pPr>
        <w:pStyle w:val="MAPPA-Bodytext"/>
        <w:sectPr w:rsidR="001F6696" w:rsidSect="00735E92">
          <w:type w:val="continuous"/>
          <w:pgSz w:w="11905" w:h="16837" w:code="9"/>
          <w:pgMar w:top="720" w:right="720" w:bottom="720" w:left="720" w:header="720" w:footer="567" w:gutter="0"/>
          <w:cols w:space="720"/>
          <w:noEndnote/>
        </w:sectPr>
      </w:pPr>
    </w:p>
    <w:p w14:paraId="015AB79B" w14:textId="77777777" w:rsidR="006F236C" w:rsidRDefault="006F236C" w:rsidP="006F236C">
      <w:pPr>
        <w:pStyle w:val="MAPPA-Bodytext"/>
      </w:pPr>
    </w:p>
    <w:p w14:paraId="776ADBCF" w14:textId="77777777" w:rsidR="006F236C" w:rsidRDefault="006F236C" w:rsidP="006F236C">
      <w:pPr>
        <w:pStyle w:val="MAPPA-HeadingPara"/>
      </w:pPr>
    </w:p>
    <w:p w14:paraId="0A9BB124" w14:textId="77777777" w:rsidR="001F6696" w:rsidRDefault="001F6696" w:rsidP="006F236C">
      <w:pPr>
        <w:pStyle w:val="MAPPA-HeadingPara"/>
      </w:pPr>
    </w:p>
    <w:p w14:paraId="736C7E8F" w14:textId="77777777" w:rsidR="001F6696" w:rsidRDefault="001F6696" w:rsidP="006F236C">
      <w:pPr>
        <w:pStyle w:val="MAPPA-HeadingPara"/>
      </w:pPr>
    </w:p>
    <w:p w14:paraId="4D45F78A" w14:textId="77777777" w:rsidR="001F6696" w:rsidRDefault="001F6696" w:rsidP="006F236C">
      <w:pPr>
        <w:pStyle w:val="MAPPA-HeadingPara"/>
      </w:pPr>
    </w:p>
    <w:p w14:paraId="0CF63928" w14:textId="77777777" w:rsidR="001F6696" w:rsidRDefault="001F6696" w:rsidP="006F236C">
      <w:pPr>
        <w:pStyle w:val="MAPPA-HeadingPara"/>
      </w:pPr>
    </w:p>
    <w:p w14:paraId="36A54721" w14:textId="77777777" w:rsidR="001F6696" w:rsidRDefault="001F6696" w:rsidP="006F236C">
      <w:pPr>
        <w:pStyle w:val="MAPPA-HeadingPara"/>
      </w:pPr>
    </w:p>
    <w:p w14:paraId="7834D45F" w14:textId="77777777" w:rsidR="001F6696" w:rsidRDefault="001F6696" w:rsidP="006F236C">
      <w:pPr>
        <w:pStyle w:val="MAPPA-HeadingPara"/>
      </w:pPr>
    </w:p>
    <w:p w14:paraId="08F9EC03" w14:textId="77777777" w:rsidR="001F6696" w:rsidRDefault="001F6696" w:rsidP="006F236C">
      <w:pPr>
        <w:pStyle w:val="MAPPA-HeadingPara"/>
      </w:pPr>
    </w:p>
    <w:p w14:paraId="10426DE2" w14:textId="1DC42631" w:rsidR="001F6696" w:rsidRDefault="001F6696" w:rsidP="006F236C">
      <w:pPr>
        <w:pStyle w:val="MAPPA-HeadingPara"/>
        <w:sectPr w:rsidR="001F6696" w:rsidSect="00867C9E">
          <w:type w:val="continuous"/>
          <w:pgSz w:w="11905" w:h="16837" w:code="9"/>
          <w:pgMar w:top="720" w:right="720" w:bottom="720" w:left="720" w:header="720" w:footer="567" w:gutter="0"/>
          <w:cols w:space="720"/>
          <w:noEndnote/>
        </w:sectPr>
      </w:pPr>
    </w:p>
    <w:p w14:paraId="6B335901" w14:textId="77777777" w:rsidR="006F236C" w:rsidRPr="001F0E43" w:rsidRDefault="006F236C" w:rsidP="006F236C">
      <w:pPr>
        <w:pStyle w:val="MAPPA-HeadingPara"/>
        <w:rPr>
          <w:lang w:val="en-GB"/>
        </w:rPr>
        <w:sectPr w:rsidR="006F236C" w:rsidRPr="001F0E43" w:rsidSect="00867C9E">
          <w:type w:val="continuous"/>
          <w:pgSz w:w="11905" w:h="16837" w:code="9"/>
          <w:pgMar w:top="720" w:right="720" w:bottom="720" w:left="720" w:header="720" w:footer="567" w:gutter="0"/>
          <w:cols w:space="720"/>
          <w:noEndnote/>
        </w:sectPr>
      </w:pPr>
    </w:p>
    <w:p w14:paraId="63C95B76" w14:textId="5F7BDBC9" w:rsidR="00332EE6" w:rsidRPr="00ED25C1" w:rsidRDefault="00332EE6" w:rsidP="00332EE6">
      <w:pPr>
        <w:pStyle w:val="MAPPA-Heaingsection"/>
        <w:rPr>
          <w:color w:val="7030A0"/>
        </w:rPr>
      </w:pPr>
      <w:r w:rsidRPr="00ED25C1">
        <w:rPr>
          <w:color w:val="7030A0"/>
        </w:rPr>
        <w:lastRenderedPageBreak/>
        <w:t>MAPPA Statistics</w:t>
      </w:r>
    </w:p>
    <w:p w14:paraId="3EC6AC63" w14:textId="77777777" w:rsidR="00332EE6" w:rsidRPr="00ED25C1" w:rsidRDefault="00332EE6" w:rsidP="00332EE6">
      <w:pPr>
        <w:pStyle w:val="Default"/>
        <w:pBdr>
          <w:bottom w:val="single" w:sz="4" w:space="1" w:color="007BC3"/>
        </w:pBdr>
        <w:rPr>
          <w:rFonts w:ascii="Arial" w:hAnsi="Arial" w:cs="Arial"/>
          <w:color w:val="FFFFFF"/>
          <w:sz w:val="16"/>
          <w:szCs w:val="16"/>
        </w:rPr>
      </w:pPr>
    </w:p>
    <w:p w14:paraId="0857564A" w14:textId="77777777" w:rsidR="001F6696" w:rsidRDefault="001F6696" w:rsidP="001F6696">
      <w:pPr>
        <w:keepNext/>
        <w:keepLines/>
        <w:spacing w:before="40" w:line="360" w:lineRule="auto"/>
        <w:outlineLvl w:val="2"/>
        <w:rPr>
          <w:rFonts w:ascii="Arial" w:eastAsiaTheme="majorEastAsia" w:hAnsi="Arial" w:cstheme="majorBidi"/>
          <w:b/>
          <w:bCs/>
          <w:color w:val="243F60" w:themeColor="accent1" w:themeShade="7F"/>
        </w:rPr>
      </w:pPr>
    </w:p>
    <w:p w14:paraId="023438D2" w14:textId="0C2F297D" w:rsidR="001F6696" w:rsidRPr="001F6696" w:rsidRDefault="001F6696" w:rsidP="001F6696">
      <w:pPr>
        <w:keepNext/>
        <w:keepLines/>
        <w:spacing w:before="40" w:line="360" w:lineRule="auto"/>
        <w:outlineLvl w:val="2"/>
        <w:rPr>
          <w:rFonts w:ascii="Arial" w:eastAsiaTheme="majorEastAsia" w:hAnsi="Arial" w:cstheme="majorBidi"/>
          <w:b/>
          <w:bCs/>
          <w:szCs w:val="28"/>
        </w:rPr>
      </w:pPr>
      <w:r w:rsidRPr="001F6696">
        <w:rPr>
          <w:rFonts w:ascii="Arial" w:eastAsiaTheme="majorEastAsia" w:hAnsi="Arial" w:cstheme="majorBidi"/>
          <w:b/>
          <w:bCs/>
        </w:rPr>
        <w:t>MAPPA-eligible individuals on 31 March 2023</w:t>
      </w:r>
    </w:p>
    <w:tbl>
      <w:tblPr>
        <w:tblStyle w:val="Style4"/>
        <w:tblW w:w="10485" w:type="dxa"/>
        <w:tblLook w:val="04A0" w:firstRow="1" w:lastRow="0" w:firstColumn="1" w:lastColumn="0" w:noHBand="0" w:noVBand="1"/>
      </w:tblPr>
      <w:tblGrid>
        <w:gridCol w:w="1742"/>
        <w:gridCol w:w="2185"/>
        <w:gridCol w:w="2186"/>
        <w:gridCol w:w="2186"/>
        <w:gridCol w:w="2186"/>
      </w:tblGrid>
      <w:tr w:rsidR="001F6696" w:rsidRPr="001F6696" w14:paraId="722052B0" w14:textId="77777777" w:rsidTr="0057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287483D7"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p>
        </w:tc>
        <w:tc>
          <w:tcPr>
            <w:tcW w:w="2185" w:type="dxa"/>
          </w:tcPr>
          <w:p w14:paraId="18F2A7C0"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1:</w:t>
            </w:r>
            <w:r w:rsidRPr="001F6696">
              <w:rPr>
                <w:b w:val="0"/>
                <w:bCs w:val="0"/>
                <w:color w:val="000000" w:themeColor="text1"/>
              </w:rPr>
              <w:br/>
              <w:t>Subject to sex offender notification requirements</w:t>
            </w:r>
          </w:p>
        </w:tc>
        <w:tc>
          <w:tcPr>
            <w:tcW w:w="2186" w:type="dxa"/>
          </w:tcPr>
          <w:p w14:paraId="301A36A9"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2:</w:t>
            </w:r>
            <w:r w:rsidRPr="001F6696">
              <w:rPr>
                <w:b w:val="0"/>
                <w:bCs w:val="0"/>
                <w:color w:val="000000" w:themeColor="text1"/>
              </w:rPr>
              <w:br/>
              <w:t>Violent</w:t>
            </w:r>
            <w:r w:rsidRPr="001F6696">
              <w:rPr>
                <w:b w:val="0"/>
                <w:bCs w:val="0"/>
                <w:color w:val="000000" w:themeColor="text1"/>
              </w:rPr>
              <w:br/>
              <w:t>offenders</w:t>
            </w:r>
          </w:p>
        </w:tc>
        <w:tc>
          <w:tcPr>
            <w:tcW w:w="2186" w:type="dxa"/>
          </w:tcPr>
          <w:p w14:paraId="78AFB6ED"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3:</w:t>
            </w:r>
            <w:r w:rsidRPr="001F6696">
              <w:rPr>
                <w:b w:val="0"/>
                <w:bCs w:val="0"/>
                <w:color w:val="000000" w:themeColor="text1"/>
              </w:rPr>
              <w:br/>
              <w:t>Other dangerous</w:t>
            </w:r>
            <w:r w:rsidRPr="001F6696">
              <w:rPr>
                <w:b w:val="0"/>
                <w:bCs w:val="0"/>
                <w:color w:val="000000" w:themeColor="text1"/>
              </w:rPr>
              <w:br/>
              <w:t>offenders</w:t>
            </w:r>
          </w:p>
        </w:tc>
        <w:tc>
          <w:tcPr>
            <w:tcW w:w="2186" w:type="dxa"/>
          </w:tcPr>
          <w:p w14:paraId="08099185"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Total</w:t>
            </w:r>
          </w:p>
        </w:tc>
      </w:tr>
      <w:tr w:rsidR="001F6696" w:rsidRPr="001F6696" w14:paraId="2E7F147E"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5D110CB1"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1</w:t>
            </w:r>
          </w:p>
        </w:tc>
        <w:tc>
          <w:tcPr>
            <w:tcW w:w="2185" w:type="dxa"/>
          </w:tcPr>
          <w:p w14:paraId="7220CBB9"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1115</w:t>
            </w:r>
          </w:p>
        </w:tc>
        <w:tc>
          <w:tcPr>
            <w:tcW w:w="2186" w:type="dxa"/>
          </w:tcPr>
          <w:p w14:paraId="6F3467D9"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331</w:t>
            </w:r>
          </w:p>
        </w:tc>
        <w:tc>
          <w:tcPr>
            <w:tcW w:w="2186" w:type="dxa"/>
          </w:tcPr>
          <w:p w14:paraId="4880E28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w:t>
            </w:r>
          </w:p>
        </w:tc>
        <w:tc>
          <w:tcPr>
            <w:tcW w:w="2186" w:type="dxa"/>
          </w:tcPr>
          <w:p w14:paraId="137FF24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1446</w:t>
            </w:r>
          </w:p>
        </w:tc>
      </w:tr>
      <w:tr w:rsidR="001F6696" w:rsidRPr="001F6696" w14:paraId="05886B67"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5C41F92B"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2</w:t>
            </w:r>
          </w:p>
        </w:tc>
        <w:tc>
          <w:tcPr>
            <w:tcW w:w="2185" w:type="dxa"/>
          </w:tcPr>
          <w:p w14:paraId="6A00C6D4"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w:t>
            </w:r>
          </w:p>
        </w:tc>
        <w:tc>
          <w:tcPr>
            <w:tcW w:w="2186" w:type="dxa"/>
          </w:tcPr>
          <w:p w14:paraId="3AD8958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4</w:t>
            </w:r>
          </w:p>
        </w:tc>
        <w:tc>
          <w:tcPr>
            <w:tcW w:w="2186" w:type="dxa"/>
          </w:tcPr>
          <w:p w14:paraId="21EDF03B"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16</w:t>
            </w:r>
          </w:p>
        </w:tc>
        <w:tc>
          <w:tcPr>
            <w:tcW w:w="2186" w:type="dxa"/>
          </w:tcPr>
          <w:p w14:paraId="4025CF24"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21</w:t>
            </w:r>
          </w:p>
        </w:tc>
      </w:tr>
      <w:tr w:rsidR="001F6696" w:rsidRPr="001F6696" w14:paraId="31BECAC2"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5D8D014B"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3</w:t>
            </w:r>
          </w:p>
        </w:tc>
        <w:tc>
          <w:tcPr>
            <w:tcW w:w="2185" w:type="dxa"/>
          </w:tcPr>
          <w:p w14:paraId="057780E7"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0</w:t>
            </w:r>
          </w:p>
        </w:tc>
        <w:tc>
          <w:tcPr>
            <w:tcW w:w="2186" w:type="dxa"/>
          </w:tcPr>
          <w:p w14:paraId="5498CB8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0</w:t>
            </w:r>
          </w:p>
        </w:tc>
        <w:tc>
          <w:tcPr>
            <w:tcW w:w="2186" w:type="dxa"/>
          </w:tcPr>
          <w:p w14:paraId="04C5AB74"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0</w:t>
            </w:r>
          </w:p>
        </w:tc>
        <w:tc>
          <w:tcPr>
            <w:tcW w:w="2186" w:type="dxa"/>
          </w:tcPr>
          <w:p w14:paraId="2E4F42B4"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0</w:t>
            </w:r>
          </w:p>
        </w:tc>
      </w:tr>
      <w:tr w:rsidR="001F6696" w:rsidRPr="001F6696" w14:paraId="542F3DFC"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7F75465F"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Total</w:t>
            </w:r>
          </w:p>
        </w:tc>
        <w:tc>
          <w:tcPr>
            <w:tcW w:w="2185" w:type="dxa"/>
          </w:tcPr>
          <w:p w14:paraId="511998CE"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1116</w:t>
            </w:r>
          </w:p>
        </w:tc>
        <w:tc>
          <w:tcPr>
            <w:tcW w:w="2186" w:type="dxa"/>
          </w:tcPr>
          <w:p w14:paraId="5E07FF0F"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335</w:t>
            </w:r>
          </w:p>
        </w:tc>
        <w:tc>
          <w:tcPr>
            <w:tcW w:w="2186" w:type="dxa"/>
          </w:tcPr>
          <w:p w14:paraId="73D0D5B0"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16</w:t>
            </w:r>
          </w:p>
        </w:tc>
        <w:tc>
          <w:tcPr>
            <w:tcW w:w="2186" w:type="dxa"/>
          </w:tcPr>
          <w:p w14:paraId="2DA2A8B7"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color w:val="000000" w:themeColor="text1"/>
              </w:rPr>
              <w:t>1467</w:t>
            </w:r>
          </w:p>
        </w:tc>
      </w:tr>
    </w:tbl>
    <w:p w14:paraId="3369CDA8" w14:textId="77777777" w:rsidR="001F6696" w:rsidRPr="001F6696" w:rsidRDefault="001F6696" w:rsidP="001F6696">
      <w:pPr>
        <w:suppressAutoHyphens/>
        <w:autoSpaceDE w:val="0"/>
        <w:autoSpaceDN w:val="0"/>
        <w:adjustRightInd w:val="0"/>
        <w:spacing w:after="240" w:line="260" w:lineRule="exact"/>
        <w:textAlignment w:val="center"/>
        <w:rPr>
          <w:rFonts w:ascii="Arial" w:hAnsi="Arial" w:cs="Arial"/>
          <w:sz w:val="20"/>
          <w:szCs w:val="28"/>
        </w:rPr>
      </w:pPr>
    </w:p>
    <w:p w14:paraId="7D036917" w14:textId="77777777" w:rsidR="001F6696" w:rsidRPr="001F6696" w:rsidRDefault="001F6696" w:rsidP="001F6696">
      <w:pPr>
        <w:keepNext/>
        <w:keepLines/>
        <w:spacing w:before="40" w:line="360" w:lineRule="auto"/>
        <w:outlineLvl w:val="2"/>
        <w:rPr>
          <w:rFonts w:ascii="Arial" w:eastAsiaTheme="majorEastAsia" w:hAnsi="Arial" w:cstheme="majorBidi"/>
          <w:b/>
          <w:bCs/>
          <w:szCs w:val="28"/>
        </w:rPr>
      </w:pPr>
      <w:r w:rsidRPr="001F6696">
        <w:rPr>
          <w:rFonts w:ascii="Arial" w:eastAsiaTheme="majorEastAsia" w:hAnsi="Arial" w:cstheme="majorBidi"/>
          <w:b/>
          <w:bCs/>
        </w:rPr>
        <w:t>MAPPA-eligible offenders in Levels 2 and 3 by category (yearly total)</w:t>
      </w:r>
    </w:p>
    <w:tbl>
      <w:tblPr>
        <w:tblStyle w:val="Style4"/>
        <w:tblW w:w="10485" w:type="dxa"/>
        <w:tblLook w:val="04A0" w:firstRow="1" w:lastRow="0" w:firstColumn="1" w:lastColumn="0" w:noHBand="0" w:noVBand="1"/>
      </w:tblPr>
      <w:tblGrid>
        <w:gridCol w:w="1742"/>
        <w:gridCol w:w="2185"/>
        <w:gridCol w:w="2186"/>
        <w:gridCol w:w="2186"/>
        <w:gridCol w:w="2186"/>
      </w:tblGrid>
      <w:tr w:rsidR="001F6696" w:rsidRPr="001F6696" w14:paraId="408B14AD" w14:textId="77777777" w:rsidTr="0057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06E38701"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p>
        </w:tc>
        <w:tc>
          <w:tcPr>
            <w:tcW w:w="2185" w:type="dxa"/>
          </w:tcPr>
          <w:p w14:paraId="61BED75A"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1:</w:t>
            </w:r>
            <w:r w:rsidRPr="001F6696">
              <w:rPr>
                <w:b w:val="0"/>
                <w:bCs w:val="0"/>
                <w:color w:val="000000" w:themeColor="text1"/>
              </w:rPr>
              <w:br/>
              <w:t>Subject to sex offender notification requirements</w:t>
            </w:r>
          </w:p>
        </w:tc>
        <w:tc>
          <w:tcPr>
            <w:tcW w:w="2186" w:type="dxa"/>
          </w:tcPr>
          <w:p w14:paraId="7158750E"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2:</w:t>
            </w:r>
            <w:r w:rsidRPr="001F6696">
              <w:rPr>
                <w:b w:val="0"/>
                <w:bCs w:val="0"/>
                <w:color w:val="000000" w:themeColor="text1"/>
              </w:rPr>
              <w:br/>
              <w:t>Violent</w:t>
            </w:r>
            <w:r w:rsidRPr="001F6696">
              <w:rPr>
                <w:b w:val="0"/>
                <w:bCs w:val="0"/>
                <w:color w:val="000000" w:themeColor="text1"/>
              </w:rPr>
              <w:br/>
              <w:t>offenders</w:t>
            </w:r>
          </w:p>
        </w:tc>
        <w:tc>
          <w:tcPr>
            <w:tcW w:w="2186" w:type="dxa"/>
          </w:tcPr>
          <w:p w14:paraId="698F805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3:</w:t>
            </w:r>
            <w:r w:rsidRPr="001F6696">
              <w:rPr>
                <w:b w:val="0"/>
                <w:bCs w:val="0"/>
                <w:color w:val="000000" w:themeColor="text1"/>
              </w:rPr>
              <w:br/>
              <w:t>Other dangerous</w:t>
            </w:r>
            <w:r w:rsidRPr="001F6696">
              <w:rPr>
                <w:b w:val="0"/>
                <w:bCs w:val="0"/>
                <w:color w:val="000000" w:themeColor="text1"/>
              </w:rPr>
              <w:br/>
              <w:t>offenders</w:t>
            </w:r>
          </w:p>
        </w:tc>
        <w:tc>
          <w:tcPr>
            <w:tcW w:w="2186" w:type="dxa"/>
          </w:tcPr>
          <w:p w14:paraId="413C4760"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Total</w:t>
            </w:r>
          </w:p>
        </w:tc>
      </w:tr>
      <w:tr w:rsidR="001F6696" w:rsidRPr="001F6696" w14:paraId="7636CC22"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32A512C8"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2</w:t>
            </w:r>
          </w:p>
        </w:tc>
        <w:tc>
          <w:tcPr>
            <w:tcW w:w="2185" w:type="dxa"/>
          </w:tcPr>
          <w:p w14:paraId="01CE45A5"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6</w:t>
            </w:r>
          </w:p>
        </w:tc>
        <w:tc>
          <w:tcPr>
            <w:tcW w:w="2186" w:type="dxa"/>
          </w:tcPr>
          <w:p w14:paraId="61528D40"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9</w:t>
            </w:r>
          </w:p>
        </w:tc>
        <w:tc>
          <w:tcPr>
            <w:tcW w:w="2186" w:type="dxa"/>
          </w:tcPr>
          <w:p w14:paraId="3701C6F1"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35</w:t>
            </w:r>
          </w:p>
        </w:tc>
        <w:tc>
          <w:tcPr>
            <w:tcW w:w="2186" w:type="dxa"/>
          </w:tcPr>
          <w:p w14:paraId="5A39CB3D"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50</w:t>
            </w:r>
          </w:p>
        </w:tc>
      </w:tr>
      <w:tr w:rsidR="001F6696" w:rsidRPr="001F6696" w14:paraId="001B1C73"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2F42208D"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3</w:t>
            </w:r>
          </w:p>
        </w:tc>
        <w:tc>
          <w:tcPr>
            <w:tcW w:w="2185" w:type="dxa"/>
          </w:tcPr>
          <w:p w14:paraId="16E77FCA"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0</w:t>
            </w:r>
          </w:p>
        </w:tc>
        <w:tc>
          <w:tcPr>
            <w:tcW w:w="2186" w:type="dxa"/>
          </w:tcPr>
          <w:p w14:paraId="4A1E358F"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0</w:t>
            </w:r>
          </w:p>
        </w:tc>
        <w:tc>
          <w:tcPr>
            <w:tcW w:w="2186" w:type="dxa"/>
          </w:tcPr>
          <w:p w14:paraId="03F98C3D"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1</w:t>
            </w:r>
          </w:p>
        </w:tc>
        <w:tc>
          <w:tcPr>
            <w:tcW w:w="2186" w:type="dxa"/>
          </w:tcPr>
          <w:p w14:paraId="1785B91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1</w:t>
            </w:r>
          </w:p>
        </w:tc>
      </w:tr>
      <w:tr w:rsidR="001F6696" w:rsidRPr="001F6696" w14:paraId="578BAD3E"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2B1F20E0"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Total</w:t>
            </w:r>
          </w:p>
        </w:tc>
        <w:tc>
          <w:tcPr>
            <w:tcW w:w="2185" w:type="dxa"/>
          </w:tcPr>
          <w:p w14:paraId="643CF496"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6</w:t>
            </w:r>
          </w:p>
        </w:tc>
        <w:tc>
          <w:tcPr>
            <w:tcW w:w="2186" w:type="dxa"/>
          </w:tcPr>
          <w:p w14:paraId="11800419"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9</w:t>
            </w:r>
          </w:p>
        </w:tc>
        <w:tc>
          <w:tcPr>
            <w:tcW w:w="2186" w:type="dxa"/>
          </w:tcPr>
          <w:p w14:paraId="7729F23E"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36</w:t>
            </w:r>
          </w:p>
        </w:tc>
        <w:tc>
          <w:tcPr>
            <w:tcW w:w="2186" w:type="dxa"/>
          </w:tcPr>
          <w:p w14:paraId="1F3F3973"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fldChar w:fldCharType="begin"/>
            </w:r>
            <w:r w:rsidRPr="001F6696">
              <w:rPr>
                <w:b w:val="0"/>
                <w:color w:val="000000" w:themeColor="text1"/>
              </w:rPr>
              <w:instrText xml:space="preserve"> =Sum(ABOVE) </w:instrText>
            </w:r>
            <w:r w:rsidRPr="001F6696">
              <w:fldChar w:fldCharType="separate"/>
            </w:r>
            <w:r w:rsidRPr="001F6696">
              <w:rPr>
                <w:b w:val="0"/>
                <w:noProof/>
                <w:color w:val="000000" w:themeColor="text1"/>
              </w:rPr>
              <w:t>51</w:t>
            </w:r>
            <w:r w:rsidRPr="001F6696">
              <w:fldChar w:fldCharType="end"/>
            </w:r>
          </w:p>
        </w:tc>
      </w:tr>
    </w:tbl>
    <w:p w14:paraId="248213C5" w14:textId="77777777" w:rsidR="001F6696" w:rsidRPr="001F6696" w:rsidRDefault="001F6696" w:rsidP="001F6696">
      <w:pPr>
        <w:suppressAutoHyphens/>
        <w:autoSpaceDE w:val="0"/>
        <w:autoSpaceDN w:val="0"/>
        <w:adjustRightInd w:val="0"/>
        <w:spacing w:after="240" w:line="260" w:lineRule="exact"/>
        <w:textAlignment w:val="center"/>
        <w:rPr>
          <w:rFonts w:ascii="Arial" w:hAnsi="Arial" w:cs="Arial"/>
        </w:rPr>
      </w:pPr>
    </w:p>
    <w:tbl>
      <w:tblPr>
        <w:tblStyle w:val="Style5"/>
        <w:tblW w:w="0" w:type="auto"/>
        <w:tblLook w:val="01E0" w:firstRow="1" w:lastRow="1" w:firstColumn="1" w:lastColumn="1" w:noHBand="0" w:noVBand="0"/>
      </w:tblPr>
      <w:tblGrid>
        <w:gridCol w:w="8366"/>
        <w:gridCol w:w="2089"/>
      </w:tblGrid>
      <w:tr w:rsidR="001F6696" w:rsidRPr="001F6696" w14:paraId="2470830C" w14:textId="77777777" w:rsidTr="00570366">
        <w:tc>
          <w:tcPr>
            <w:cnfStyle w:val="001000000000" w:firstRow="0" w:lastRow="0" w:firstColumn="1" w:lastColumn="0" w:oddVBand="0" w:evenVBand="0" w:oddHBand="0" w:evenHBand="0" w:firstRowFirstColumn="0" w:firstRowLastColumn="0" w:lastRowFirstColumn="0" w:lastRowLastColumn="0"/>
            <w:tcW w:w="8466" w:type="dxa"/>
          </w:tcPr>
          <w:p w14:paraId="2D3D23CA" w14:textId="77777777" w:rsidR="001F6696" w:rsidRPr="001F6696" w:rsidRDefault="001F6696" w:rsidP="001F6696">
            <w:pPr>
              <w:keepNext/>
              <w:keepLines/>
              <w:spacing w:before="40"/>
              <w:outlineLvl w:val="2"/>
              <w:rPr>
                <w:rFonts w:eastAsiaTheme="majorEastAsia" w:cstheme="majorBidi"/>
                <w:color w:val="000000" w:themeColor="text1"/>
              </w:rPr>
            </w:pPr>
            <w:r w:rsidRPr="001F6696">
              <w:rPr>
                <w:rFonts w:eastAsiaTheme="majorEastAsia" w:cstheme="majorBidi"/>
                <w:color w:val="000000" w:themeColor="text1"/>
              </w:rPr>
              <w:t>Category 1 cautioned or convicted for breach of notification requirements</w:t>
            </w:r>
          </w:p>
        </w:tc>
        <w:tc>
          <w:tcPr>
            <w:tcW w:w="2113" w:type="dxa"/>
          </w:tcPr>
          <w:p w14:paraId="1D92D134"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rPr>
              <w:t>4</w:t>
            </w:r>
            <w:r w:rsidRPr="001F6696">
              <w:rPr>
                <w:color w:val="000000" w:themeColor="text1"/>
                <w:lang w:val="en-US"/>
              </w:rPr>
              <w:t>9</w:t>
            </w:r>
          </w:p>
        </w:tc>
      </w:tr>
    </w:tbl>
    <w:p w14:paraId="0B601DF5" w14:textId="77777777" w:rsidR="001F6696" w:rsidRPr="001F6696" w:rsidRDefault="001F6696" w:rsidP="001F6696">
      <w:pPr>
        <w:suppressAutoHyphens/>
        <w:autoSpaceDE w:val="0"/>
        <w:autoSpaceDN w:val="0"/>
        <w:adjustRightInd w:val="0"/>
        <w:spacing w:after="240" w:line="260" w:lineRule="exact"/>
        <w:textAlignment w:val="center"/>
        <w:rPr>
          <w:rFonts w:ascii="Arial" w:hAnsi="Arial" w:cs="Arial"/>
        </w:rPr>
      </w:pPr>
    </w:p>
    <w:tbl>
      <w:tblPr>
        <w:tblStyle w:val="Style5"/>
        <w:tblW w:w="0" w:type="auto"/>
        <w:tblLook w:val="01E0" w:firstRow="1" w:lastRow="1" w:firstColumn="1" w:lastColumn="1" w:noHBand="0" w:noVBand="0"/>
      </w:tblPr>
      <w:tblGrid>
        <w:gridCol w:w="8367"/>
        <w:gridCol w:w="2088"/>
      </w:tblGrid>
      <w:tr w:rsidR="001F6696" w:rsidRPr="001F6696" w14:paraId="3498A10B" w14:textId="77777777" w:rsidTr="00570366">
        <w:tc>
          <w:tcPr>
            <w:cnfStyle w:val="001000000000" w:firstRow="0" w:lastRow="0" w:firstColumn="1" w:lastColumn="0" w:oddVBand="0" w:evenVBand="0" w:oddHBand="0" w:evenHBand="0" w:firstRowFirstColumn="0" w:firstRowLastColumn="0" w:lastRowFirstColumn="0" w:lastRowLastColumn="0"/>
            <w:tcW w:w="8466" w:type="dxa"/>
          </w:tcPr>
          <w:p w14:paraId="0169F522" w14:textId="77777777" w:rsidR="001F6696" w:rsidRPr="001F6696" w:rsidRDefault="001F6696" w:rsidP="001F6696">
            <w:pPr>
              <w:keepNext/>
              <w:keepLines/>
              <w:spacing w:before="40"/>
              <w:outlineLvl w:val="2"/>
              <w:rPr>
                <w:rFonts w:eastAsiaTheme="majorEastAsia" w:cstheme="majorBidi"/>
                <w:color w:val="000000" w:themeColor="text1"/>
              </w:rPr>
            </w:pPr>
            <w:r w:rsidRPr="001F6696">
              <w:rPr>
                <w:rFonts w:eastAsiaTheme="majorEastAsia" w:cstheme="majorBidi"/>
                <w:color w:val="000000" w:themeColor="text1"/>
              </w:rPr>
              <w:t xml:space="preserve">Category 1 who have had their life time notification revoked on application </w:t>
            </w:r>
          </w:p>
        </w:tc>
        <w:tc>
          <w:tcPr>
            <w:tcW w:w="2113" w:type="dxa"/>
          </w:tcPr>
          <w:p w14:paraId="58EDC482"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rPr>
              <w:t>2</w:t>
            </w:r>
          </w:p>
        </w:tc>
      </w:tr>
    </w:tbl>
    <w:p w14:paraId="5E6704ED" w14:textId="77777777" w:rsidR="001F6696" w:rsidRPr="001F6696" w:rsidRDefault="001F6696" w:rsidP="001F6696">
      <w:pPr>
        <w:suppressAutoHyphens/>
        <w:autoSpaceDE w:val="0"/>
        <w:autoSpaceDN w:val="0"/>
        <w:adjustRightInd w:val="0"/>
        <w:spacing w:after="240" w:line="260" w:lineRule="exact"/>
        <w:textAlignment w:val="center"/>
        <w:rPr>
          <w:rFonts w:ascii="Arial" w:hAnsi="Arial" w:cs="Arial"/>
          <w:sz w:val="20"/>
          <w:szCs w:val="28"/>
        </w:rPr>
      </w:pPr>
    </w:p>
    <w:p w14:paraId="3134E173" w14:textId="77777777" w:rsidR="001F6696" w:rsidRPr="001F6696" w:rsidRDefault="001F6696" w:rsidP="001F6696">
      <w:pPr>
        <w:keepNext/>
        <w:keepLines/>
        <w:spacing w:before="40" w:line="360" w:lineRule="auto"/>
        <w:outlineLvl w:val="2"/>
        <w:rPr>
          <w:rFonts w:ascii="Arial" w:eastAsiaTheme="majorEastAsia" w:hAnsi="Arial" w:cstheme="majorBidi"/>
          <w:b/>
          <w:bCs/>
          <w:szCs w:val="28"/>
        </w:rPr>
      </w:pPr>
      <w:r w:rsidRPr="001F6696">
        <w:rPr>
          <w:rFonts w:ascii="Arial" w:eastAsiaTheme="majorEastAsia" w:hAnsi="Arial" w:cstheme="majorBidi"/>
          <w:b/>
          <w:bCs/>
        </w:rPr>
        <w:t>Restrictive orders for Category 1 offenders</w:t>
      </w:r>
    </w:p>
    <w:tbl>
      <w:tblPr>
        <w:tblStyle w:val="Style5"/>
        <w:tblW w:w="0" w:type="auto"/>
        <w:tblLook w:val="04A0" w:firstRow="1" w:lastRow="0" w:firstColumn="1" w:lastColumn="0" w:noHBand="0" w:noVBand="1"/>
      </w:tblPr>
      <w:tblGrid>
        <w:gridCol w:w="8359"/>
        <w:gridCol w:w="2096"/>
      </w:tblGrid>
      <w:tr w:rsidR="001F6696" w:rsidRPr="001F6696" w14:paraId="03BDAF44" w14:textId="77777777" w:rsidTr="00570366">
        <w:tc>
          <w:tcPr>
            <w:cnfStyle w:val="001000000000" w:firstRow="0" w:lastRow="0" w:firstColumn="1" w:lastColumn="0" w:oddVBand="0" w:evenVBand="0" w:oddHBand="0" w:evenHBand="0" w:firstRowFirstColumn="0" w:firstRowLastColumn="0" w:lastRowFirstColumn="0" w:lastRowLastColumn="0"/>
            <w:tcW w:w="8359" w:type="dxa"/>
          </w:tcPr>
          <w:p w14:paraId="54B9BB17" w14:textId="77777777" w:rsidR="001F6696" w:rsidRPr="001F6696" w:rsidRDefault="001F6696" w:rsidP="001F6696">
            <w:pPr>
              <w:suppressAutoHyphens/>
              <w:autoSpaceDE w:val="0"/>
              <w:autoSpaceDN w:val="0"/>
              <w:adjustRightInd w:val="0"/>
              <w:spacing w:before="30" w:after="30" w:line="260" w:lineRule="exact"/>
              <w:textAlignment w:val="center"/>
              <w:rPr>
                <w:color w:val="000000" w:themeColor="text1"/>
              </w:rPr>
            </w:pPr>
            <w:r w:rsidRPr="001F6696">
              <w:rPr>
                <w:color w:val="000000" w:themeColor="text1"/>
              </w:rPr>
              <w:t>Sexual Harm Prevention Order (SHPO)</w:t>
            </w:r>
          </w:p>
        </w:tc>
        <w:tc>
          <w:tcPr>
            <w:tcW w:w="2096" w:type="dxa"/>
          </w:tcPr>
          <w:p w14:paraId="744B31AD"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lang w:val="en-US"/>
              </w:rPr>
              <w:t>82</w:t>
            </w:r>
          </w:p>
        </w:tc>
      </w:tr>
      <w:tr w:rsidR="001F6696" w:rsidRPr="001F6696" w14:paraId="2A4C528C" w14:textId="77777777" w:rsidTr="00570366">
        <w:tc>
          <w:tcPr>
            <w:cnfStyle w:val="001000000000" w:firstRow="0" w:lastRow="0" w:firstColumn="1" w:lastColumn="0" w:oddVBand="0" w:evenVBand="0" w:oddHBand="0" w:evenHBand="0" w:firstRowFirstColumn="0" w:firstRowLastColumn="0" w:lastRowFirstColumn="0" w:lastRowLastColumn="0"/>
            <w:tcW w:w="8359" w:type="dxa"/>
          </w:tcPr>
          <w:p w14:paraId="1EF96918" w14:textId="77777777" w:rsidR="001F6696" w:rsidRPr="001F6696" w:rsidRDefault="001F6696" w:rsidP="001F6696">
            <w:pPr>
              <w:suppressAutoHyphens/>
              <w:autoSpaceDE w:val="0"/>
              <w:autoSpaceDN w:val="0"/>
              <w:adjustRightInd w:val="0"/>
              <w:spacing w:before="30" w:after="30" w:line="260" w:lineRule="exact"/>
              <w:textAlignment w:val="center"/>
              <w:rPr>
                <w:color w:val="000000" w:themeColor="text1"/>
              </w:rPr>
            </w:pPr>
            <w:r w:rsidRPr="001F6696">
              <w:rPr>
                <w:color w:val="000000" w:themeColor="text1"/>
              </w:rPr>
              <w:t>SHPO with foreign travel restriction</w:t>
            </w:r>
          </w:p>
        </w:tc>
        <w:tc>
          <w:tcPr>
            <w:tcW w:w="2096" w:type="dxa"/>
          </w:tcPr>
          <w:p w14:paraId="614189B2"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lang w:val="en-US"/>
              </w:rPr>
              <w:t>0</w:t>
            </w:r>
          </w:p>
        </w:tc>
      </w:tr>
      <w:tr w:rsidR="001F6696" w:rsidRPr="001F6696" w14:paraId="41FFF02E" w14:textId="77777777" w:rsidTr="00570366">
        <w:tc>
          <w:tcPr>
            <w:cnfStyle w:val="001000000000" w:firstRow="0" w:lastRow="0" w:firstColumn="1" w:lastColumn="0" w:oddVBand="0" w:evenVBand="0" w:oddHBand="0" w:evenHBand="0" w:firstRowFirstColumn="0" w:firstRowLastColumn="0" w:lastRowFirstColumn="0" w:lastRowLastColumn="0"/>
            <w:tcW w:w="8359" w:type="dxa"/>
          </w:tcPr>
          <w:p w14:paraId="4D079961" w14:textId="77777777" w:rsidR="001F6696" w:rsidRPr="001F6696" w:rsidRDefault="001F6696" w:rsidP="001F6696">
            <w:pPr>
              <w:suppressAutoHyphens/>
              <w:autoSpaceDE w:val="0"/>
              <w:autoSpaceDN w:val="0"/>
              <w:adjustRightInd w:val="0"/>
              <w:spacing w:before="30" w:after="30" w:line="260" w:lineRule="exact"/>
              <w:textAlignment w:val="center"/>
              <w:rPr>
                <w:color w:val="000000" w:themeColor="text1"/>
              </w:rPr>
            </w:pPr>
            <w:r w:rsidRPr="001F6696">
              <w:rPr>
                <w:color w:val="000000" w:themeColor="text1"/>
              </w:rPr>
              <w:t>Notification Order</w:t>
            </w:r>
          </w:p>
        </w:tc>
        <w:tc>
          <w:tcPr>
            <w:tcW w:w="2096" w:type="dxa"/>
          </w:tcPr>
          <w:p w14:paraId="3793F3E2"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lang w:val="en-US"/>
              </w:rPr>
              <w:t>3</w:t>
            </w:r>
          </w:p>
        </w:tc>
      </w:tr>
    </w:tbl>
    <w:p w14:paraId="12ADEEB4" w14:textId="77777777" w:rsidR="001F6696" w:rsidRPr="001F6696" w:rsidRDefault="001F6696" w:rsidP="001F6696">
      <w:pPr>
        <w:suppressAutoHyphens/>
        <w:autoSpaceDE w:val="0"/>
        <w:autoSpaceDN w:val="0"/>
        <w:adjustRightInd w:val="0"/>
        <w:spacing w:after="240" w:line="260" w:lineRule="exact"/>
        <w:textAlignment w:val="center"/>
        <w:rPr>
          <w:rFonts w:ascii="Arial" w:hAnsi="Arial" w:cs="Arial"/>
        </w:rPr>
      </w:pPr>
    </w:p>
    <w:tbl>
      <w:tblPr>
        <w:tblStyle w:val="Style5"/>
        <w:tblW w:w="0" w:type="auto"/>
        <w:tblLook w:val="01E0" w:firstRow="1" w:lastRow="1" w:firstColumn="1" w:lastColumn="1" w:noHBand="0" w:noVBand="0"/>
      </w:tblPr>
      <w:tblGrid>
        <w:gridCol w:w="8367"/>
        <w:gridCol w:w="2088"/>
      </w:tblGrid>
      <w:tr w:rsidR="001F6696" w:rsidRPr="001F6696" w14:paraId="56C0ACC2" w14:textId="77777777" w:rsidTr="001F6696">
        <w:tc>
          <w:tcPr>
            <w:cnfStyle w:val="001000000000" w:firstRow="0" w:lastRow="0" w:firstColumn="1" w:lastColumn="0" w:oddVBand="0" w:evenVBand="0" w:oddHBand="0" w:evenHBand="0" w:firstRowFirstColumn="0" w:firstRowLastColumn="0" w:lastRowFirstColumn="0" w:lastRowLastColumn="0"/>
            <w:tcW w:w="8466" w:type="dxa"/>
          </w:tcPr>
          <w:p w14:paraId="35AB28A3" w14:textId="77777777" w:rsidR="001F6696" w:rsidRPr="001F6696" w:rsidRDefault="001F6696" w:rsidP="001F6696">
            <w:pPr>
              <w:keepNext/>
              <w:keepLines/>
              <w:outlineLvl w:val="2"/>
              <w:rPr>
                <w:rFonts w:eastAsiaTheme="majorEastAsia" w:cstheme="majorBidi"/>
                <w:color w:val="000000" w:themeColor="text1"/>
              </w:rPr>
            </w:pPr>
            <w:r w:rsidRPr="001F6696">
              <w:rPr>
                <w:rFonts w:eastAsiaTheme="majorEastAsia" w:cstheme="majorBidi"/>
                <w:color w:val="000000" w:themeColor="text1"/>
              </w:rPr>
              <w:t xml:space="preserve">Number of individuals who became subject to sex offender notification requirements following a breach(es) of a Sexual Risk Order (SRO) </w:t>
            </w:r>
          </w:p>
        </w:tc>
        <w:tc>
          <w:tcPr>
            <w:tcW w:w="2113" w:type="dxa"/>
          </w:tcPr>
          <w:p w14:paraId="0242C65E"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rPr>
              <w:t>0</w:t>
            </w:r>
          </w:p>
        </w:tc>
      </w:tr>
    </w:tbl>
    <w:p w14:paraId="38B0798D" w14:textId="2E4FCA7C" w:rsidR="001F6696" w:rsidRDefault="001F6696" w:rsidP="001F6696">
      <w:pPr>
        <w:rPr>
          <w:rFonts w:ascii="Times New Roman" w:hAnsi="Times New Roman" w:cs="Times New Roman"/>
        </w:rPr>
      </w:pPr>
    </w:p>
    <w:p w14:paraId="4617B6F6" w14:textId="16D2D2E3" w:rsidR="001F6696" w:rsidRDefault="001F6696" w:rsidP="001F6696">
      <w:pPr>
        <w:rPr>
          <w:rFonts w:ascii="Times New Roman" w:hAnsi="Times New Roman" w:cs="Times New Roman"/>
        </w:rPr>
      </w:pPr>
    </w:p>
    <w:p w14:paraId="30F107F0" w14:textId="29CA41E1" w:rsidR="001F6696" w:rsidRDefault="001F6696" w:rsidP="001F6696">
      <w:pPr>
        <w:rPr>
          <w:rFonts w:ascii="Times New Roman" w:hAnsi="Times New Roman" w:cs="Times New Roman"/>
        </w:rPr>
      </w:pPr>
    </w:p>
    <w:p w14:paraId="4F4E1759" w14:textId="01E29D88" w:rsidR="001F6696" w:rsidRDefault="001F6696" w:rsidP="001F6696">
      <w:pPr>
        <w:rPr>
          <w:rFonts w:ascii="Times New Roman" w:hAnsi="Times New Roman" w:cs="Times New Roman"/>
        </w:rPr>
      </w:pPr>
    </w:p>
    <w:p w14:paraId="6DC228F8" w14:textId="77777777" w:rsidR="001F6696" w:rsidRPr="001F6696" w:rsidRDefault="001F6696" w:rsidP="001F6696">
      <w:pPr>
        <w:rPr>
          <w:rFonts w:ascii="Times New Roman" w:hAnsi="Times New Roman" w:cs="Times New Roman"/>
        </w:rPr>
      </w:pPr>
    </w:p>
    <w:p w14:paraId="6533F65B" w14:textId="77777777" w:rsidR="001F6696" w:rsidRPr="001F6696" w:rsidRDefault="001F6696" w:rsidP="001F6696">
      <w:pPr>
        <w:keepNext/>
        <w:keepLines/>
        <w:spacing w:before="40" w:line="360" w:lineRule="auto"/>
        <w:outlineLvl w:val="2"/>
        <w:rPr>
          <w:rFonts w:ascii="Arial" w:eastAsiaTheme="majorEastAsia" w:hAnsi="Arial" w:cstheme="majorBidi"/>
          <w:b/>
          <w:bCs/>
          <w:szCs w:val="28"/>
        </w:rPr>
      </w:pPr>
      <w:r w:rsidRPr="001F6696">
        <w:rPr>
          <w:rFonts w:ascii="Arial" w:eastAsiaTheme="majorEastAsia" w:hAnsi="Arial" w:cstheme="majorBidi"/>
          <w:b/>
          <w:bCs/>
        </w:rPr>
        <w:t>Level 2 and 3 individuals returned to custody</w:t>
      </w:r>
    </w:p>
    <w:tbl>
      <w:tblPr>
        <w:tblStyle w:val="Style4"/>
        <w:tblW w:w="10485" w:type="dxa"/>
        <w:tblLook w:val="01E0" w:firstRow="1" w:lastRow="1" w:firstColumn="1" w:lastColumn="1" w:noHBand="0" w:noVBand="0"/>
      </w:tblPr>
      <w:tblGrid>
        <w:gridCol w:w="1742"/>
        <w:gridCol w:w="2185"/>
        <w:gridCol w:w="2186"/>
        <w:gridCol w:w="2186"/>
        <w:gridCol w:w="2186"/>
      </w:tblGrid>
      <w:tr w:rsidR="001F6696" w:rsidRPr="001F6696" w14:paraId="1C1186C9" w14:textId="77777777" w:rsidTr="0057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57EDCA0"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Returned to custody for breach of licence</w:t>
            </w:r>
          </w:p>
        </w:tc>
        <w:tc>
          <w:tcPr>
            <w:tcW w:w="2185" w:type="dxa"/>
          </w:tcPr>
          <w:p w14:paraId="3EE29841"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1:</w:t>
            </w:r>
            <w:r w:rsidRPr="001F6696">
              <w:rPr>
                <w:b w:val="0"/>
                <w:bCs w:val="0"/>
                <w:color w:val="000000" w:themeColor="text1"/>
              </w:rPr>
              <w:br/>
              <w:t>Subject to notification requirements</w:t>
            </w:r>
          </w:p>
        </w:tc>
        <w:tc>
          <w:tcPr>
            <w:tcW w:w="2186" w:type="dxa"/>
          </w:tcPr>
          <w:p w14:paraId="15F7BCF3"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2:</w:t>
            </w:r>
            <w:r w:rsidRPr="001F6696">
              <w:rPr>
                <w:b w:val="0"/>
                <w:bCs w:val="0"/>
                <w:color w:val="000000" w:themeColor="text1"/>
              </w:rPr>
              <w:br/>
              <w:t>Violent</w:t>
            </w:r>
            <w:r w:rsidRPr="001F6696">
              <w:rPr>
                <w:b w:val="0"/>
                <w:bCs w:val="0"/>
                <w:color w:val="000000" w:themeColor="text1"/>
              </w:rPr>
              <w:br/>
              <w:t>offenders</w:t>
            </w:r>
          </w:p>
        </w:tc>
        <w:tc>
          <w:tcPr>
            <w:tcW w:w="2186" w:type="dxa"/>
          </w:tcPr>
          <w:p w14:paraId="5C1866C1"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F6696">
              <w:rPr>
                <w:b w:val="0"/>
                <w:bCs w:val="0"/>
                <w:color w:val="000000" w:themeColor="text1"/>
              </w:rPr>
              <w:t>Category 3:</w:t>
            </w:r>
            <w:r w:rsidRPr="001F6696">
              <w:rPr>
                <w:b w:val="0"/>
                <w:bCs w:val="0"/>
                <w:color w:val="000000" w:themeColor="text1"/>
              </w:rPr>
              <w:br/>
              <w:t>Other dangerous</w:t>
            </w:r>
            <w:r w:rsidRPr="001F6696">
              <w:rPr>
                <w:b w:val="0"/>
                <w:bCs w:val="0"/>
                <w:color w:val="000000" w:themeColor="text1"/>
              </w:rPr>
              <w:br/>
              <w:t>offenders</w:t>
            </w:r>
          </w:p>
        </w:tc>
        <w:tc>
          <w:tcPr>
            <w:cnfStyle w:val="000100000000" w:firstRow="0" w:lastRow="0" w:firstColumn="0" w:lastColumn="1" w:oddVBand="0" w:evenVBand="0" w:oddHBand="0" w:evenHBand="0" w:firstRowFirstColumn="0" w:firstRowLastColumn="0" w:lastRowFirstColumn="0" w:lastRowLastColumn="0"/>
            <w:tcW w:w="2186" w:type="dxa"/>
          </w:tcPr>
          <w:p w14:paraId="2F2AE7F6"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color w:val="000000" w:themeColor="text1"/>
              </w:rPr>
              <w:t>Total</w:t>
            </w:r>
          </w:p>
        </w:tc>
      </w:tr>
      <w:tr w:rsidR="001F6696" w:rsidRPr="001F6696" w14:paraId="473536E4"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676C8C42"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lastRenderedPageBreak/>
              <w:t>Level 2</w:t>
            </w:r>
          </w:p>
        </w:tc>
        <w:tc>
          <w:tcPr>
            <w:tcW w:w="2185" w:type="dxa"/>
          </w:tcPr>
          <w:p w14:paraId="4A4DA581"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7</w:t>
            </w:r>
          </w:p>
        </w:tc>
        <w:tc>
          <w:tcPr>
            <w:tcW w:w="2186" w:type="dxa"/>
          </w:tcPr>
          <w:p w14:paraId="1FD3246D"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7</w:t>
            </w:r>
          </w:p>
        </w:tc>
        <w:tc>
          <w:tcPr>
            <w:tcW w:w="2186" w:type="dxa"/>
          </w:tcPr>
          <w:p w14:paraId="022925EB"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13</w:t>
            </w:r>
          </w:p>
        </w:tc>
        <w:tc>
          <w:tcPr>
            <w:cnfStyle w:val="000100000000" w:firstRow="0" w:lastRow="0" w:firstColumn="0" w:lastColumn="1" w:oddVBand="0" w:evenVBand="0" w:oddHBand="0" w:evenHBand="0" w:firstRowFirstColumn="0" w:firstRowLastColumn="0" w:lastRowFirstColumn="0" w:lastRowLastColumn="0"/>
            <w:tcW w:w="2186" w:type="dxa"/>
          </w:tcPr>
          <w:p w14:paraId="7FA0644F"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noProof/>
                <w:color w:val="000000" w:themeColor="text1"/>
              </w:rPr>
              <w:t>27</w:t>
            </w:r>
          </w:p>
        </w:tc>
      </w:tr>
      <w:tr w:rsidR="001F6696" w:rsidRPr="001F6696" w14:paraId="5EC3A7AF" w14:textId="77777777" w:rsidTr="00570366">
        <w:tc>
          <w:tcPr>
            <w:cnfStyle w:val="001000000000" w:firstRow="0" w:lastRow="0" w:firstColumn="1" w:lastColumn="0" w:oddVBand="0" w:evenVBand="0" w:oddHBand="0" w:evenHBand="0" w:firstRowFirstColumn="0" w:firstRowLastColumn="0" w:lastRowFirstColumn="0" w:lastRowLastColumn="0"/>
            <w:tcW w:w="1742" w:type="dxa"/>
          </w:tcPr>
          <w:p w14:paraId="5F87B3E6"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3</w:t>
            </w:r>
          </w:p>
        </w:tc>
        <w:tc>
          <w:tcPr>
            <w:tcW w:w="2185" w:type="dxa"/>
          </w:tcPr>
          <w:p w14:paraId="740D6E0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0</w:t>
            </w:r>
          </w:p>
        </w:tc>
        <w:tc>
          <w:tcPr>
            <w:tcW w:w="2186" w:type="dxa"/>
          </w:tcPr>
          <w:p w14:paraId="4243A6FD"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0</w:t>
            </w:r>
          </w:p>
        </w:tc>
        <w:tc>
          <w:tcPr>
            <w:tcW w:w="2186" w:type="dxa"/>
          </w:tcPr>
          <w:p w14:paraId="386A0FA7"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b w:val="0"/>
                <w:color w:val="000000" w:themeColor="text1"/>
              </w:rPr>
            </w:pPr>
            <w:r w:rsidRPr="001F6696">
              <w:rPr>
                <w:b w:val="0"/>
                <w:noProof/>
                <w:color w:val="000000" w:themeColor="text1"/>
              </w:rPr>
              <w:t>0</w:t>
            </w:r>
          </w:p>
        </w:tc>
        <w:tc>
          <w:tcPr>
            <w:cnfStyle w:val="000100000000" w:firstRow="0" w:lastRow="0" w:firstColumn="0" w:lastColumn="1" w:oddVBand="0" w:evenVBand="0" w:oddHBand="0" w:evenHBand="0" w:firstRowFirstColumn="0" w:firstRowLastColumn="0" w:lastRowFirstColumn="0" w:lastRowLastColumn="0"/>
            <w:tcW w:w="2186" w:type="dxa"/>
          </w:tcPr>
          <w:p w14:paraId="57E7480B"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noProof/>
                <w:color w:val="000000" w:themeColor="text1"/>
              </w:rPr>
              <w:t>0</w:t>
            </w:r>
          </w:p>
        </w:tc>
      </w:tr>
      <w:tr w:rsidR="001F6696" w:rsidRPr="001F6696" w14:paraId="2950CBD6" w14:textId="77777777" w:rsidTr="005703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304CEAD"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Total</w:t>
            </w:r>
          </w:p>
        </w:tc>
        <w:tc>
          <w:tcPr>
            <w:tcW w:w="2185" w:type="dxa"/>
          </w:tcPr>
          <w:p w14:paraId="3A797E1E"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10000000000" w:firstRow="0" w:lastRow="1" w:firstColumn="0" w:lastColumn="0" w:oddVBand="0" w:evenVBand="0" w:oddHBand="0" w:evenHBand="0" w:firstRowFirstColumn="0" w:firstRowLastColumn="0" w:lastRowFirstColumn="0" w:lastRowLastColumn="0"/>
              <w:rPr>
                <w:b w:val="0"/>
                <w:bCs w:val="0"/>
                <w:color w:val="000000" w:themeColor="text1"/>
              </w:rPr>
            </w:pPr>
            <w:r w:rsidRPr="001F6696">
              <w:fldChar w:fldCharType="begin"/>
            </w:r>
            <w:r w:rsidRPr="001F6696">
              <w:rPr>
                <w:b w:val="0"/>
                <w:bCs w:val="0"/>
                <w:color w:val="000000" w:themeColor="text1"/>
              </w:rPr>
              <w:instrText xml:space="preserve"> =SUM(ABOVE) </w:instrText>
            </w:r>
            <w:r w:rsidRPr="001F6696">
              <w:fldChar w:fldCharType="separate"/>
            </w:r>
            <w:r w:rsidRPr="001F6696">
              <w:rPr>
                <w:b w:val="0"/>
                <w:bCs w:val="0"/>
                <w:noProof/>
                <w:color w:val="000000" w:themeColor="text1"/>
              </w:rPr>
              <w:t>7</w:t>
            </w:r>
            <w:r w:rsidRPr="001F6696">
              <w:fldChar w:fldCharType="end"/>
            </w:r>
          </w:p>
        </w:tc>
        <w:tc>
          <w:tcPr>
            <w:tcW w:w="2186" w:type="dxa"/>
          </w:tcPr>
          <w:p w14:paraId="61E8125F"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10000000000" w:firstRow="0" w:lastRow="1" w:firstColumn="0" w:lastColumn="0" w:oddVBand="0" w:evenVBand="0" w:oddHBand="0" w:evenHBand="0" w:firstRowFirstColumn="0" w:firstRowLastColumn="0" w:lastRowFirstColumn="0" w:lastRowLastColumn="0"/>
              <w:rPr>
                <w:b w:val="0"/>
                <w:bCs w:val="0"/>
                <w:color w:val="000000" w:themeColor="text1"/>
              </w:rPr>
            </w:pPr>
            <w:r w:rsidRPr="001F6696">
              <w:fldChar w:fldCharType="begin"/>
            </w:r>
            <w:r w:rsidRPr="001F6696">
              <w:rPr>
                <w:b w:val="0"/>
                <w:bCs w:val="0"/>
                <w:color w:val="000000" w:themeColor="text1"/>
              </w:rPr>
              <w:instrText xml:space="preserve"> =SUM(ABOVE) </w:instrText>
            </w:r>
            <w:r w:rsidRPr="001F6696">
              <w:fldChar w:fldCharType="separate"/>
            </w:r>
            <w:r w:rsidRPr="001F6696">
              <w:rPr>
                <w:b w:val="0"/>
                <w:bCs w:val="0"/>
                <w:noProof/>
                <w:color w:val="000000" w:themeColor="text1"/>
              </w:rPr>
              <w:t>7</w:t>
            </w:r>
            <w:r w:rsidRPr="001F6696">
              <w:fldChar w:fldCharType="end"/>
            </w:r>
          </w:p>
        </w:tc>
        <w:tc>
          <w:tcPr>
            <w:tcW w:w="2186" w:type="dxa"/>
          </w:tcPr>
          <w:p w14:paraId="1F15BFAC"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10000000000" w:firstRow="0" w:lastRow="1" w:firstColumn="0" w:lastColumn="0" w:oddVBand="0" w:evenVBand="0" w:oddHBand="0" w:evenHBand="0" w:firstRowFirstColumn="0" w:firstRowLastColumn="0" w:lastRowFirstColumn="0" w:lastRowLastColumn="0"/>
              <w:rPr>
                <w:b w:val="0"/>
                <w:bCs w:val="0"/>
                <w:color w:val="000000" w:themeColor="text1"/>
              </w:rPr>
            </w:pPr>
            <w:r w:rsidRPr="001F6696">
              <w:fldChar w:fldCharType="begin"/>
            </w:r>
            <w:r w:rsidRPr="001F6696">
              <w:rPr>
                <w:b w:val="0"/>
                <w:bCs w:val="0"/>
                <w:color w:val="000000" w:themeColor="text1"/>
              </w:rPr>
              <w:instrText xml:space="preserve"> =SUM(ABOVE) </w:instrText>
            </w:r>
            <w:r w:rsidRPr="001F6696">
              <w:fldChar w:fldCharType="separate"/>
            </w:r>
            <w:r w:rsidRPr="001F6696">
              <w:rPr>
                <w:b w:val="0"/>
                <w:bCs w:val="0"/>
                <w:noProof/>
                <w:color w:val="000000" w:themeColor="text1"/>
              </w:rPr>
              <w:t>13</w:t>
            </w:r>
            <w:r w:rsidRPr="001F6696">
              <w:fldChar w:fldCharType="end"/>
            </w:r>
          </w:p>
        </w:tc>
        <w:tc>
          <w:tcPr>
            <w:cnfStyle w:val="000100000000" w:firstRow="0" w:lastRow="0" w:firstColumn="0" w:lastColumn="1" w:oddVBand="0" w:evenVBand="0" w:oddHBand="0" w:evenHBand="0" w:firstRowFirstColumn="0" w:firstRowLastColumn="0" w:lastRowFirstColumn="0" w:lastRowLastColumn="0"/>
            <w:tcW w:w="2186" w:type="dxa"/>
          </w:tcPr>
          <w:p w14:paraId="2066F850"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noProof/>
                <w:color w:val="000000" w:themeColor="text1"/>
              </w:rPr>
              <w:t>27</w:t>
            </w:r>
          </w:p>
        </w:tc>
      </w:tr>
    </w:tbl>
    <w:p w14:paraId="1BA8A21E" w14:textId="77777777" w:rsidR="001F6696" w:rsidRPr="001F6696" w:rsidRDefault="001F6696" w:rsidP="001F6696">
      <w:pPr>
        <w:rPr>
          <w:rFonts w:ascii="Times New Roman" w:hAnsi="Times New Roman" w:cs="Times New Roman"/>
        </w:rPr>
      </w:pPr>
    </w:p>
    <w:tbl>
      <w:tblPr>
        <w:tblStyle w:val="Style4"/>
        <w:tblW w:w="10485" w:type="dxa"/>
        <w:tblLook w:val="01E0" w:firstRow="1" w:lastRow="1" w:firstColumn="1" w:lastColumn="1" w:noHBand="0" w:noVBand="0"/>
      </w:tblPr>
      <w:tblGrid>
        <w:gridCol w:w="8359"/>
        <w:gridCol w:w="2126"/>
      </w:tblGrid>
      <w:tr w:rsidR="001F6696" w:rsidRPr="001F6696" w14:paraId="45DC9199" w14:textId="77777777" w:rsidTr="0057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F60166A"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Breach of SHPO</w:t>
            </w:r>
          </w:p>
        </w:tc>
        <w:tc>
          <w:tcPr>
            <w:cnfStyle w:val="000100000000" w:firstRow="0" w:lastRow="0" w:firstColumn="0" w:lastColumn="1" w:oddVBand="0" w:evenVBand="0" w:oddHBand="0" w:evenHBand="0" w:firstRowFirstColumn="0" w:firstRowLastColumn="0" w:lastRowFirstColumn="0" w:lastRowLastColumn="0"/>
            <w:tcW w:w="2126" w:type="dxa"/>
          </w:tcPr>
          <w:p w14:paraId="1448BF38"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p>
        </w:tc>
      </w:tr>
      <w:tr w:rsidR="001F6696" w:rsidRPr="001F6696" w14:paraId="7124EF57" w14:textId="77777777" w:rsidTr="00570366">
        <w:tc>
          <w:tcPr>
            <w:cnfStyle w:val="001000000000" w:firstRow="0" w:lastRow="0" w:firstColumn="1" w:lastColumn="0" w:oddVBand="0" w:evenVBand="0" w:oddHBand="0" w:evenHBand="0" w:firstRowFirstColumn="0" w:firstRowLastColumn="0" w:lastRowFirstColumn="0" w:lastRowLastColumn="0"/>
            <w:tcW w:w="8359" w:type="dxa"/>
          </w:tcPr>
          <w:p w14:paraId="39CA74A6"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2</w:t>
            </w:r>
          </w:p>
        </w:tc>
        <w:tc>
          <w:tcPr>
            <w:cnfStyle w:val="000100000000" w:firstRow="0" w:lastRow="0" w:firstColumn="0" w:lastColumn="1" w:oddVBand="0" w:evenVBand="0" w:oddHBand="0" w:evenHBand="0" w:firstRowFirstColumn="0" w:firstRowLastColumn="0" w:lastRowFirstColumn="0" w:lastRowLastColumn="0"/>
            <w:tcW w:w="2126" w:type="dxa"/>
          </w:tcPr>
          <w:p w14:paraId="26E9C485"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color w:val="000000" w:themeColor="text1"/>
              </w:rPr>
              <w:t>1</w:t>
            </w:r>
          </w:p>
        </w:tc>
      </w:tr>
      <w:tr w:rsidR="001F6696" w:rsidRPr="001F6696" w14:paraId="71E6B594" w14:textId="77777777" w:rsidTr="00570366">
        <w:tc>
          <w:tcPr>
            <w:cnfStyle w:val="001000000000" w:firstRow="0" w:lastRow="0" w:firstColumn="1" w:lastColumn="0" w:oddVBand="0" w:evenVBand="0" w:oddHBand="0" w:evenHBand="0" w:firstRowFirstColumn="0" w:firstRowLastColumn="0" w:lastRowFirstColumn="0" w:lastRowLastColumn="0"/>
            <w:tcW w:w="8359" w:type="dxa"/>
          </w:tcPr>
          <w:p w14:paraId="30FED252"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Level 3</w:t>
            </w:r>
          </w:p>
        </w:tc>
        <w:tc>
          <w:tcPr>
            <w:cnfStyle w:val="000100000000" w:firstRow="0" w:lastRow="0" w:firstColumn="0" w:lastColumn="1" w:oddVBand="0" w:evenVBand="0" w:oddHBand="0" w:evenHBand="0" w:firstRowFirstColumn="0" w:firstRowLastColumn="0" w:lastRowFirstColumn="0" w:lastRowLastColumn="0"/>
            <w:tcW w:w="2126" w:type="dxa"/>
          </w:tcPr>
          <w:p w14:paraId="3AD7550D"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color w:val="000000" w:themeColor="text1"/>
              </w:rPr>
              <w:t>0</w:t>
            </w:r>
          </w:p>
        </w:tc>
      </w:tr>
      <w:tr w:rsidR="001F6696" w:rsidRPr="001F6696" w14:paraId="75DF84FA" w14:textId="77777777" w:rsidTr="0057036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AD0D126" w14:textId="77777777" w:rsidR="001F6696" w:rsidRPr="001F6696" w:rsidRDefault="001F6696" w:rsidP="001F6696">
            <w:pPr>
              <w:suppressAutoHyphens/>
              <w:autoSpaceDE w:val="0"/>
              <w:autoSpaceDN w:val="0"/>
              <w:adjustRightInd w:val="0"/>
              <w:spacing w:before="30" w:after="30" w:line="260" w:lineRule="exact"/>
              <w:textAlignment w:val="center"/>
              <w:rPr>
                <w:b w:val="0"/>
                <w:bCs w:val="0"/>
                <w:color w:val="000000" w:themeColor="text1"/>
              </w:rPr>
            </w:pPr>
            <w:r w:rsidRPr="001F6696">
              <w:rPr>
                <w:b w:val="0"/>
                <w:bCs w:val="0"/>
                <w:color w:val="000000" w:themeColor="text1"/>
              </w:rPr>
              <w:t>Total</w:t>
            </w:r>
          </w:p>
        </w:tc>
        <w:tc>
          <w:tcPr>
            <w:cnfStyle w:val="000100000000" w:firstRow="0" w:lastRow="0" w:firstColumn="0" w:lastColumn="1" w:oddVBand="0" w:evenVBand="0" w:oddHBand="0" w:evenHBand="0" w:firstRowFirstColumn="0" w:firstRowLastColumn="0" w:lastRowFirstColumn="0" w:lastRowLastColumn="0"/>
            <w:tcW w:w="2126" w:type="dxa"/>
          </w:tcPr>
          <w:p w14:paraId="77F4654F" w14:textId="77777777" w:rsidR="001F6696" w:rsidRPr="001F6696" w:rsidRDefault="001F6696" w:rsidP="001F6696">
            <w:pPr>
              <w:suppressAutoHyphens/>
              <w:autoSpaceDE w:val="0"/>
              <w:autoSpaceDN w:val="0"/>
              <w:adjustRightInd w:val="0"/>
              <w:spacing w:before="30" w:after="30" w:line="260" w:lineRule="exact"/>
              <w:jc w:val="right"/>
              <w:textAlignment w:val="center"/>
              <w:rPr>
                <w:b w:val="0"/>
                <w:bCs w:val="0"/>
                <w:color w:val="000000" w:themeColor="text1"/>
              </w:rPr>
            </w:pPr>
            <w:r w:rsidRPr="001F6696">
              <w:rPr>
                <w:b w:val="0"/>
                <w:bCs w:val="0"/>
                <w:color w:val="000000" w:themeColor="text1"/>
              </w:rPr>
              <w:t>1</w:t>
            </w:r>
          </w:p>
        </w:tc>
      </w:tr>
    </w:tbl>
    <w:p w14:paraId="1AFD5FA3" w14:textId="77777777" w:rsidR="001F6696" w:rsidRPr="001F6696" w:rsidRDefault="001F6696" w:rsidP="001F6696">
      <w:pPr>
        <w:suppressAutoHyphens/>
        <w:autoSpaceDE w:val="0"/>
        <w:autoSpaceDN w:val="0"/>
        <w:adjustRightInd w:val="0"/>
        <w:spacing w:after="240" w:line="260" w:lineRule="exact"/>
        <w:textAlignment w:val="center"/>
        <w:rPr>
          <w:rFonts w:ascii="Arial" w:hAnsi="Arial" w:cs="Arial"/>
          <w:sz w:val="20"/>
          <w:szCs w:val="28"/>
        </w:rPr>
      </w:pPr>
    </w:p>
    <w:tbl>
      <w:tblPr>
        <w:tblStyle w:val="Style5"/>
        <w:tblW w:w="0" w:type="auto"/>
        <w:tblLook w:val="01E0" w:firstRow="1" w:lastRow="1" w:firstColumn="1" w:lastColumn="1" w:noHBand="0" w:noVBand="0"/>
      </w:tblPr>
      <w:tblGrid>
        <w:gridCol w:w="8364"/>
        <w:gridCol w:w="2091"/>
      </w:tblGrid>
      <w:tr w:rsidR="001F6696" w:rsidRPr="001F6696" w14:paraId="4FA5CDC9" w14:textId="77777777" w:rsidTr="00570366">
        <w:tc>
          <w:tcPr>
            <w:cnfStyle w:val="001000000000" w:firstRow="0" w:lastRow="0" w:firstColumn="1" w:lastColumn="0" w:oddVBand="0" w:evenVBand="0" w:oddHBand="0" w:evenHBand="0" w:firstRowFirstColumn="0" w:firstRowLastColumn="0" w:lastRowFirstColumn="0" w:lastRowLastColumn="0"/>
            <w:tcW w:w="8466" w:type="dxa"/>
          </w:tcPr>
          <w:p w14:paraId="054AAA97" w14:textId="77777777" w:rsidR="001F6696" w:rsidRPr="001F6696" w:rsidRDefault="001F6696" w:rsidP="001F6696">
            <w:pPr>
              <w:keepNext/>
              <w:keepLines/>
              <w:spacing w:before="40"/>
              <w:outlineLvl w:val="2"/>
              <w:rPr>
                <w:rFonts w:eastAsiaTheme="majorEastAsia" w:cstheme="majorBidi"/>
                <w:color w:val="000000" w:themeColor="text1"/>
              </w:rPr>
            </w:pPr>
            <w:r w:rsidRPr="001F6696">
              <w:rPr>
                <w:rFonts w:eastAsiaTheme="majorEastAsia" w:cstheme="majorBidi"/>
                <w:color w:val="000000" w:themeColor="text1"/>
              </w:rPr>
              <w:t>Total number of individuals subject to sex offender notification requirements per 100,000 population</w:t>
            </w:r>
          </w:p>
        </w:tc>
        <w:tc>
          <w:tcPr>
            <w:tcW w:w="2113" w:type="dxa"/>
          </w:tcPr>
          <w:p w14:paraId="1C7F0314" w14:textId="77777777" w:rsidR="001F6696" w:rsidRPr="001F6696" w:rsidRDefault="001F6696" w:rsidP="001F6696">
            <w:pPr>
              <w:suppressAutoHyphens/>
              <w:autoSpaceDE w:val="0"/>
              <w:autoSpaceDN w:val="0"/>
              <w:adjustRightInd w:val="0"/>
              <w:spacing w:before="30" w:after="30" w:line="260" w:lineRule="exact"/>
              <w:jc w:val="right"/>
              <w:textAlignment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F6696">
              <w:rPr>
                <w:color w:val="000000" w:themeColor="text1"/>
              </w:rPr>
              <w:t>222</w:t>
            </w:r>
          </w:p>
        </w:tc>
      </w:tr>
    </w:tbl>
    <w:p w14:paraId="26D488B7" w14:textId="77777777" w:rsidR="001F6696" w:rsidRPr="001F6696" w:rsidRDefault="001F6696" w:rsidP="001F6696">
      <w:pPr>
        <w:rPr>
          <w:rFonts w:ascii="Arial" w:hAnsi="Arial" w:cs="Arial"/>
          <w:sz w:val="20"/>
          <w:szCs w:val="20"/>
        </w:rPr>
      </w:pPr>
    </w:p>
    <w:p w14:paraId="428D8F26" w14:textId="70E61377" w:rsidR="001F6696" w:rsidRPr="001F6696" w:rsidRDefault="001F6696" w:rsidP="001F6696">
      <w:pPr>
        <w:rPr>
          <w:rFonts w:ascii="Arial" w:hAnsi="Arial" w:cs="Arial"/>
          <w:sz w:val="20"/>
          <w:szCs w:val="20"/>
        </w:rPr>
      </w:pPr>
      <w:r w:rsidRPr="001F6696">
        <w:rPr>
          <w:rFonts w:ascii="Arial" w:hAnsi="Arial" w:cs="Arial"/>
          <w:sz w:val="20"/>
          <w:szCs w:val="20"/>
        </w:rPr>
        <w:t>This figure has been calculated using the mid-2021 estimated resident population, published by the Office for National Statistics (ONS) on 21 December 202</w:t>
      </w:r>
      <w:r w:rsidR="005A195D">
        <w:rPr>
          <w:rFonts w:ascii="Arial" w:hAnsi="Arial" w:cs="Arial"/>
          <w:sz w:val="20"/>
          <w:szCs w:val="20"/>
        </w:rPr>
        <w:t>2</w:t>
      </w:r>
      <w:r w:rsidRPr="001F6696">
        <w:rPr>
          <w:rFonts w:ascii="Arial" w:hAnsi="Arial" w:cs="Arial"/>
          <w:sz w:val="20"/>
          <w:szCs w:val="20"/>
        </w:rPr>
        <w:t xml:space="preserve">, excluding those aged less than ten years of age. </w:t>
      </w:r>
    </w:p>
    <w:p w14:paraId="4BB98743" w14:textId="77777777" w:rsidR="001F6696" w:rsidRPr="001F6696" w:rsidRDefault="001F6696" w:rsidP="001F6696">
      <w:pPr>
        <w:rPr>
          <w:rFonts w:ascii="Arial" w:hAnsi="Arial" w:cs="Arial"/>
          <w:sz w:val="20"/>
          <w:szCs w:val="20"/>
        </w:rPr>
      </w:pPr>
    </w:p>
    <w:p w14:paraId="2786E2BE" w14:textId="77777777" w:rsidR="001F6696" w:rsidRPr="001F6696" w:rsidRDefault="001F6696" w:rsidP="001F6696">
      <w:pPr>
        <w:rPr>
          <w:rFonts w:ascii="Arial" w:hAnsi="Arial" w:cs="Arial"/>
          <w:sz w:val="20"/>
          <w:szCs w:val="20"/>
        </w:rPr>
        <w:sectPr w:rsidR="001F6696" w:rsidRPr="001F6696" w:rsidSect="001F6696">
          <w:type w:val="continuous"/>
          <w:pgSz w:w="11905" w:h="16837" w:code="9"/>
          <w:pgMar w:top="720" w:right="720" w:bottom="720" w:left="720" w:header="720" w:footer="567" w:gutter="0"/>
          <w:cols w:space="720"/>
          <w:noEndnote/>
        </w:sectPr>
      </w:pPr>
      <w:r w:rsidRPr="001F6696">
        <w:rPr>
          <w:rFonts w:ascii="Arial" w:hAnsi="Arial" w:cs="Arial"/>
          <w:sz w:val="20"/>
          <w:szCs w:val="20"/>
        </w:rPr>
        <w:t>Consistent with previous publications, this figure should be based on mid-2022 estimated resident population; however, the ONS has changed its publication schedule such that the mid-2022 estimates will be published later this year. As such, the current figure may differ from the corresponding figure based on the mid-2022 estimates.</w:t>
      </w:r>
    </w:p>
    <w:p w14:paraId="6E9DF408" w14:textId="571C1A18" w:rsidR="00332EE6" w:rsidRPr="001F6696" w:rsidRDefault="00332EE6" w:rsidP="00332EE6">
      <w:pPr>
        <w:pStyle w:val="MAPPA-Bodytext"/>
        <w:spacing w:line="280" w:lineRule="exact"/>
        <w:sectPr w:rsidR="00332EE6" w:rsidRPr="001F6696" w:rsidSect="00867C9E">
          <w:footerReference w:type="default" r:id="rId18"/>
          <w:type w:val="continuous"/>
          <w:pgSz w:w="11905" w:h="16837" w:code="9"/>
          <w:pgMar w:top="720" w:right="720" w:bottom="720" w:left="720" w:header="720" w:footer="567" w:gutter="0"/>
          <w:cols w:space="720"/>
          <w:noEndnote/>
        </w:sectPr>
      </w:pPr>
    </w:p>
    <w:p w14:paraId="3CA7D2FD" w14:textId="7C8D5CAB" w:rsidR="00332EE6" w:rsidRPr="00ED25C1" w:rsidRDefault="00332EE6" w:rsidP="00332EE6">
      <w:pPr>
        <w:pStyle w:val="MAPPA-Heaingsection"/>
        <w:rPr>
          <w:color w:val="7030A0"/>
        </w:rPr>
      </w:pPr>
      <w:r w:rsidRPr="00ED25C1">
        <w:rPr>
          <w:color w:val="7030A0"/>
        </w:rPr>
        <w:lastRenderedPageBreak/>
        <w:t>Explanation commentary on statistical tables</w:t>
      </w:r>
    </w:p>
    <w:p w14:paraId="0D5605F6" w14:textId="77777777" w:rsidR="00332EE6" w:rsidRPr="00ED25C1" w:rsidRDefault="00332EE6" w:rsidP="00332EE6">
      <w:pPr>
        <w:pStyle w:val="Default"/>
        <w:pBdr>
          <w:bottom w:val="single" w:sz="4" w:space="1" w:color="007BC3"/>
        </w:pBdr>
        <w:rPr>
          <w:rFonts w:ascii="Arial" w:hAnsi="Arial" w:cs="Arial"/>
          <w:color w:val="FFFFFF"/>
          <w:sz w:val="16"/>
          <w:szCs w:val="16"/>
        </w:rPr>
      </w:pPr>
    </w:p>
    <w:p w14:paraId="382F5DDF" w14:textId="77777777" w:rsidR="00332EE6" w:rsidRPr="00ED25C1" w:rsidRDefault="00332EE6" w:rsidP="00332EE6">
      <w:pPr>
        <w:pStyle w:val="MAPPA-Bodytext"/>
        <w:sectPr w:rsidR="00332EE6" w:rsidRPr="00ED25C1" w:rsidSect="00867C9E">
          <w:footerReference w:type="default" r:id="rId19"/>
          <w:pgSz w:w="11905" w:h="16837" w:code="9"/>
          <w:pgMar w:top="720" w:right="720" w:bottom="720" w:left="720" w:header="720" w:footer="567" w:gutter="0"/>
          <w:cols w:space="720"/>
          <w:noEndnote/>
        </w:sectPr>
      </w:pPr>
    </w:p>
    <w:p w14:paraId="0C311400" w14:textId="77777777" w:rsidR="00332EE6" w:rsidRPr="00ED25C1" w:rsidRDefault="00332EE6" w:rsidP="00332EE6">
      <w:pPr>
        <w:pStyle w:val="MAPPA-Bodytext"/>
      </w:pPr>
    </w:p>
    <w:p w14:paraId="51D8EB43" w14:textId="77777777" w:rsidR="00332EE6" w:rsidRPr="00ED25C1" w:rsidRDefault="00332EE6" w:rsidP="00332EE6">
      <w:pPr>
        <w:pStyle w:val="MAPPA-HeadingPara"/>
        <w:rPr>
          <w:rFonts w:cs="Arial"/>
        </w:rPr>
        <w:sectPr w:rsidR="00332EE6" w:rsidRPr="00ED25C1" w:rsidSect="00867C9E">
          <w:type w:val="continuous"/>
          <w:pgSz w:w="11905" w:h="16837" w:code="9"/>
          <w:pgMar w:top="720" w:right="720" w:bottom="720" w:left="720" w:header="720" w:footer="567" w:gutter="0"/>
          <w:cols w:space="720"/>
          <w:noEndnote/>
        </w:sectPr>
      </w:pPr>
    </w:p>
    <w:p w14:paraId="1D9FE3D3" w14:textId="77777777" w:rsidR="001F6696" w:rsidRPr="001F6696" w:rsidRDefault="001F6696" w:rsidP="001F6696">
      <w:pPr>
        <w:keepNext/>
        <w:keepLines/>
        <w:spacing w:before="40" w:line="360" w:lineRule="auto"/>
        <w:jc w:val="both"/>
        <w:outlineLvl w:val="1"/>
        <w:rPr>
          <w:rFonts w:ascii="Arial" w:eastAsiaTheme="majorEastAsia" w:hAnsi="Arial" w:cstheme="majorBidi"/>
          <w:color w:val="7030A0"/>
          <w:sz w:val="38"/>
          <w:szCs w:val="38"/>
        </w:rPr>
      </w:pPr>
      <w:r w:rsidRPr="001F6696">
        <w:rPr>
          <w:rFonts w:ascii="Arial" w:eastAsiaTheme="majorEastAsia" w:hAnsi="Arial" w:cstheme="majorBidi"/>
          <w:color w:val="7030A0"/>
          <w:sz w:val="38"/>
          <w:szCs w:val="38"/>
        </w:rPr>
        <w:t>MAPPA background</w:t>
      </w:r>
    </w:p>
    <w:p w14:paraId="19F3D1D3"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hAnsi="Arial" w:cs="Arial"/>
          <w:color w:val="000000"/>
        </w:rPr>
        <w:t>The totals of MAPPA-eligible individuals, broken down by category, reflect the picture on 31 March 2023 (i.e. they are a snapshot). The rest of the data covers the period 1 April 2022 to 31 March 2023.</w:t>
      </w:r>
    </w:p>
    <w:p w14:paraId="39C539A9"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(a) MAPPA-eligible individuals</w:t>
      </w:r>
      <w:r w:rsidRPr="001F6696">
        <w:rPr>
          <w:rFonts w:ascii="Arial" w:hAnsi="Arial" w:cs="Arial"/>
          <w:color w:val="7030A0"/>
        </w:rPr>
        <w:t xml:space="preserve"> </w:t>
      </w:r>
      <w:r w:rsidRPr="001F6696">
        <w:rPr>
          <w:rFonts w:ascii="Arial" w:hAnsi="Arial" w:cs="Arial"/>
          <w:color w:val="000000"/>
        </w:rPr>
        <w:t>– there are individuals defined in law as eligible for MAPPA management because they have committed specified sexual, violent or terrorist offences or they currently pose a risk of serious harm. The majority are managed at Level 1 without formal MAPPA meetings. These figures only include those MAPPA eligible individuals living in the community. They do not include those in prison or detained under the Mental Health Act.</w:t>
      </w:r>
    </w:p>
    <w:p w14:paraId="5E41D019"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(b) Subject to Sex Offender Notification Requirements</w:t>
      </w:r>
      <w:r w:rsidRPr="001F6696">
        <w:rPr>
          <w:rFonts w:ascii="Arial" w:hAnsi="Arial" w:cs="Arial"/>
          <w:color w:val="7030A0"/>
        </w:rPr>
        <w:t xml:space="preserve"> </w:t>
      </w:r>
      <w:r w:rsidRPr="001F6696">
        <w:rPr>
          <w:rFonts w:ascii="Arial" w:hAnsi="Arial" w:cs="Arial"/>
          <w:color w:val="000000"/>
        </w:rPr>
        <w:t>– those who are required to notify the police of their name, address and other personal details and to notify of any subsequent changes (this is known as the “notification requirement.”) These individuals are assessed and managed by the police. They may also be managed by probation or health services if they are subject to licence or a hospital order. Failure to comply with the notification requirement is a criminal offence that carries a maximum penalty of 5 years’ imprisonment.</w:t>
      </w:r>
    </w:p>
    <w:p w14:paraId="1DD948C5"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(c) Violent Offenders</w:t>
      </w:r>
      <w:r w:rsidRPr="001F6696">
        <w:rPr>
          <w:rFonts w:ascii="Arial" w:hAnsi="Arial" w:cs="Arial"/>
          <w:color w:val="7030A0"/>
        </w:rPr>
        <w:t xml:space="preserve"> </w:t>
      </w:r>
      <w:r w:rsidRPr="001F6696">
        <w:rPr>
          <w:rFonts w:ascii="Arial" w:hAnsi="Arial" w:cs="Arial"/>
          <w:color w:val="000000"/>
        </w:rPr>
        <w:t xml:space="preserve">– individuals convicted of violent offences who were sentenced to imprisonment or detention for 12 months or more, or detained under a hospital order and a small number of individuals convicted of sexual offences who are not subject to notification requirements. These individuals are assessed and managed by the Probation </w:t>
      </w:r>
      <w:r w:rsidRPr="001F6696">
        <w:rPr>
          <w:rFonts w:ascii="Arial" w:hAnsi="Arial" w:cs="Arial"/>
          <w:color w:val="000000"/>
        </w:rPr>
        <w:t xml:space="preserve">Service, Youth Offending Team or Mental Health Services. </w:t>
      </w:r>
    </w:p>
    <w:p w14:paraId="33C96072" w14:textId="065C7EF9"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(d) Other Dangerous Offenders</w:t>
      </w:r>
      <w:r w:rsidRPr="001F6696">
        <w:rPr>
          <w:rFonts w:ascii="Arial" w:hAnsi="Arial" w:cs="Arial"/>
          <w:color w:val="7030A0"/>
        </w:rPr>
        <w:t xml:space="preserve"> </w:t>
      </w:r>
      <w:r w:rsidRPr="001F6696">
        <w:rPr>
          <w:rFonts w:ascii="Arial" w:hAnsi="Arial" w:cs="Arial"/>
          <w:color w:val="000000"/>
        </w:rPr>
        <w:t>– individuals who do not qualify under the other MAPPA-eligible categories but have committed an offence that indicates that they pose a risk of serious harm which requires management via MAPPA meetings. These individuals are assessed and managed by whichever agency has the primary responsibility for them.</w:t>
      </w:r>
    </w:p>
    <w:p w14:paraId="4F85B5B4"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(e) Terrorism and Terrorism Risk Offenders</w:t>
      </w:r>
      <w:r w:rsidRPr="001F6696">
        <w:rPr>
          <w:rFonts w:ascii="Arial" w:hAnsi="Arial" w:cs="Arial"/>
          <w:color w:val="7030A0"/>
        </w:rPr>
        <w:t xml:space="preserve"> </w:t>
      </w:r>
      <w:r w:rsidRPr="001F6696">
        <w:rPr>
          <w:rFonts w:ascii="Arial" w:hAnsi="Arial" w:cs="Arial"/>
          <w:color w:val="000000"/>
        </w:rPr>
        <w:t xml:space="preserve">– individuals subject to terrorism offender notification requirements; individuals convicted of terrorism or terrorism related offences who were sentenced to imprisonment or detention for 12 months or more, or detained under a hospital order; and those who have committed an offence and may be at risk of involvement in terrorism-related activity. These individuals are assessed and managed by Counter-Terrorism Police and the National Security Division of the Probation Service. </w:t>
      </w:r>
    </w:p>
    <w:p w14:paraId="57988E62"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(f) Breach of Licence</w:t>
      </w:r>
      <w:r w:rsidRPr="001F6696">
        <w:rPr>
          <w:rFonts w:ascii="Arial" w:hAnsi="Arial" w:cs="Arial"/>
          <w:color w:val="7030A0"/>
        </w:rPr>
        <w:t xml:space="preserve"> </w:t>
      </w:r>
      <w:r w:rsidRPr="001F6696">
        <w:rPr>
          <w:rFonts w:ascii="Arial" w:hAnsi="Arial" w:cs="Arial"/>
          <w:color w:val="000000"/>
        </w:rPr>
        <w:t>– individuals released into the community following a period of imprisonment will be subject to a licence with conditions (under probation supervision). If the individual does not comply with these conditions, the Probation Service will take breach action and the individual may be recalled to prison.</w:t>
      </w:r>
    </w:p>
    <w:p w14:paraId="129B3732"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(g) Sexual Harm Prevention Order (SHPO) (including any additional foreign travel restriction).</w:t>
      </w:r>
      <w:r w:rsidRPr="001F6696">
        <w:rPr>
          <w:rFonts w:ascii="Arial" w:hAnsi="Arial" w:cs="Arial"/>
          <w:b/>
          <w:color w:val="7030A0"/>
        </w:rPr>
        <w:t xml:space="preserve"> </w:t>
      </w:r>
      <w:r w:rsidRPr="001F6696">
        <w:rPr>
          <w:rFonts w:ascii="Arial" w:hAnsi="Arial" w:cs="Arial"/>
          <w:color w:val="000000"/>
        </w:rPr>
        <w:t xml:space="preserve">Sexual Harm Prevention Orders (SHPOs) and interim SHPOs replaced Sexual Offence Prevention Orders are intended to protect the public from individuals convicted of a sexual or violent offence who pose a risk of </w:t>
      </w:r>
      <w:r w:rsidRPr="001F6696">
        <w:rPr>
          <w:rFonts w:ascii="Arial" w:hAnsi="Arial" w:cs="Arial"/>
          <w:color w:val="000000"/>
        </w:rPr>
        <w:lastRenderedPageBreak/>
        <w:t>sexual harm to the public by placing restrictions and/or positive obligations on their behaviour. They require the individual to notify their details to the police (as set out in Part 2 of the 2003 Act) for the duration of the order.</w:t>
      </w:r>
    </w:p>
    <w:p w14:paraId="67A13AB9" w14:textId="3383BB36"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hAnsi="Arial" w:cs="Arial"/>
          <w:color w:val="000000"/>
        </w:rPr>
        <w:t>The court must be satisfied on the balance of probability that an order is necessary to protect the public (or any particular members of the public) in the UK, or children or vulnerable adults (or any particular children or vulnerable adults) abroad, from sexual harm from the individual. In the case of an order made on a free-standing application by a Chief Officer,</w:t>
      </w:r>
      <w:r w:rsidRPr="001F6696" w:rsidDel="00332EE6">
        <w:rPr>
          <w:rFonts w:ascii="Arial" w:hAnsi="Arial" w:cs="Arial"/>
          <w:color w:val="000000"/>
        </w:rPr>
        <w:t xml:space="preserve"> </w:t>
      </w:r>
      <w:r w:rsidRPr="001F6696">
        <w:rPr>
          <w:rFonts w:ascii="Arial" w:hAnsi="Arial" w:cs="Arial"/>
          <w:color w:val="000000"/>
        </w:rPr>
        <w:t>the National Crime Agency (NCA), British Transport Police (BTP) or the Ministry of Defence Police (MODP), the chief officer/NCA/BTP/MODP must be able to show that the individual has acted in a way since their conviction that makes the order necessary.</w:t>
      </w:r>
    </w:p>
    <w:p w14:paraId="2F56C8F0"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hAnsi="Arial" w:cs="Arial"/>
          <w:color w:val="000000"/>
        </w:rPr>
        <w:t>The minimum duration for a full order is five years. The lower age limit is 10, which is the age of criminal responsibility, but where the defendant is under the age of 18 an application for an order should only be considered exceptionally.</w:t>
      </w:r>
    </w:p>
    <w:p w14:paraId="2F677116" w14:textId="77777777" w:rsidR="001F6696" w:rsidRPr="001F6696" w:rsidRDefault="001F6696" w:rsidP="001F6696">
      <w:pPr>
        <w:suppressAutoHyphens/>
        <w:autoSpaceDE w:val="0"/>
        <w:autoSpaceDN w:val="0"/>
        <w:adjustRightInd w:val="0"/>
        <w:spacing w:after="240" w:line="260" w:lineRule="exact"/>
        <w:jc w:val="both"/>
        <w:textAlignment w:val="center"/>
        <w:rPr>
          <w:rFonts w:ascii="Arial" w:hAnsi="Arial" w:cs="Arial"/>
          <w:color w:val="000000"/>
        </w:rPr>
      </w:pPr>
      <w:r w:rsidRPr="001F6696">
        <w:rPr>
          <w:rFonts w:ascii="Arial" w:eastAsiaTheme="majorEastAsia" w:hAnsi="Arial" w:cs="Arial"/>
          <w:b/>
          <w:iCs/>
          <w:color w:val="7030A0"/>
          <w:lang w:val="en-US"/>
        </w:rPr>
        <w:t>(h) Notification Order</w:t>
      </w:r>
      <w:r w:rsidRPr="001F6696">
        <w:rPr>
          <w:rFonts w:ascii="Arial" w:hAnsi="Arial" w:cs="Arial"/>
          <w:color w:val="7030A0"/>
        </w:rPr>
        <w:t xml:space="preserve"> </w:t>
      </w:r>
      <w:r w:rsidRPr="001F6696">
        <w:rPr>
          <w:rFonts w:ascii="Arial" w:hAnsi="Arial" w:cs="Arial"/>
          <w:color w:val="000000"/>
        </w:rPr>
        <w:t>– this requires individuals convicted of qualifying sexual offences overseas to register with the police, in order to protect the public in the UK from the risks that they pose. The police in England and Wales may issue a notification order directly to an offender who is already in the UK or who is intending to come to the UK who has to notify within three days of receipt. Individuals have a right of appeal against notification.</w:t>
      </w:r>
    </w:p>
    <w:p w14:paraId="2E6A20ED" w14:textId="77777777" w:rsidR="001F6696" w:rsidRPr="001F6696" w:rsidRDefault="001F6696" w:rsidP="001F6696">
      <w:pPr>
        <w:keepNext/>
        <w:keepLines/>
        <w:spacing w:after="240" w:line="260" w:lineRule="exact"/>
        <w:jc w:val="both"/>
        <w:outlineLvl w:val="3"/>
        <w:rPr>
          <w:rFonts w:ascii="Arial" w:eastAsiaTheme="majorEastAsia" w:hAnsi="Arial" w:cs="Arial"/>
          <w:bCs/>
          <w:iCs/>
          <w:color w:val="auto"/>
        </w:rPr>
      </w:pPr>
      <w:r w:rsidRPr="001F6696">
        <w:rPr>
          <w:rFonts w:ascii="Arial" w:eastAsiaTheme="majorEastAsia" w:hAnsi="Arial" w:cs="Arial"/>
          <w:b/>
          <w:iCs/>
          <w:color w:val="7030A0"/>
        </w:rPr>
        <w:t xml:space="preserve">(i) Sexual Risk Order (including any additional foreign travel restriction) </w:t>
      </w:r>
      <w:r w:rsidRPr="001F6696">
        <w:rPr>
          <w:rFonts w:ascii="Arial" w:eastAsiaTheme="majorEastAsia" w:hAnsi="Arial" w:cs="Arial"/>
          <w:bCs/>
          <w:iCs/>
          <w:color w:val="auto"/>
        </w:rPr>
        <w:t xml:space="preserve">–The Sexual Risk Order (SRO) replaced the Risk of Sexual Harm Order (RoSHO) and may be made in relation to a person without a conviction for a sexual or violent offence (or any other offence), but who poses a risk of sexual harm. </w:t>
      </w:r>
    </w:p>
    <w:p w14:paraId="387DE5F6" w14:textId="77777777" w:rsidR="001F6696" w:rsidRPr="001F6696" w:rsidRDefault="001F6696" w:rsidP="001F6696">
      <w:pPr>
        <w:widowControl w:val="0"/>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The SRO may be made at the magistrates’ court on application by the police,</w:t>
      </w:r>
      <w:r w:rsidRPr="001F6696" w:rsidDel="00332EE6">
        <w:rPr>
          <w:rFonts w:ascii="Arial" w:hAnsi="Arial" w:cs="Arial"/>
          <w:color w:val="000000"/>
        </w:rPr>
        <w:t xml:space="preserve"> </w:t>
      </w:r>
      <w:r w:rsidRPr="001F6696">
        <w:rPr>
          <w:rFonts w:ascii="Arial" w:hAnsi="Arial" w:cs="Arial"/>
          <w:color w:val="000000"/>
        </w:rPr>
        <w:t>NCA, BTP or MODP where an individual has committed an act of a sexual nature and the court is satisfied that the person poses a risk of harm to the public in the UK or children or vulnerable adults overseas.</w:t>
      </w:r>
    </w:p>
    <w:p w14:paraId="50EBDB3E" w14:textId="77777777" w:rsidR="001F6696" w:rsidRPr="001F6696" w:rsidRDefault="001F6696" w:rsidP="001F6696">
      <w:pPr>
        <w:widowControl w:val="0"/>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 xml:space="preserve">An SRO may prohibit the person from doing anything described in it, including travel </w:t>
      </w:r>
      <w:r w:rsidRPr="001F6696">
        <w:rPr>
          <w:rFonts w:ascii="Arial" w:hAnsi="Arial" w:cs="Arial"/>
          <w:color w:val="000000"/>
        </w:rPr>
        <w:t xml:space="preserve">overseas, or place positive obligations upon them. Any prohibition and/or obligation must be necessary to protect the public in the UK from sexual harm or, in relation to foreign travel, protecting children or vulnerable adults from sexual harm. </w:t>
      </w:r>
    </w:p>
    <w:p w14:paraId="0346C14E" w14:textId="77777777" w:rsidR="001F6696" w:rsidRPr="001F6696" w:rsidRDefault="001F6696" w:rsidP="001F6696">
      <w:pPr>
        <w:widowControl w:val="0"/>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An individual subject to an SRO is required to notify the police of their name and home address within three days of the order being made and also to notify any changes to this information within three days.</w:t>
      </w:r>
    </w:p>
    <w:p w14:paraId="4C727067" w14:textId="77777777" w:rsidR="001F6696" w:rsidRPr="001F6696" w:rsidRDefault="001F6696" w:rsidP="001F6696">
      <w:pPr>
        <w:widowControl w:val="0"/>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 xml:space="preserve">An SRO can last for a minimum of two years and has no maximum duration, with the exception of any foreign travel restrictions which, if applicable, last for a maximum of five years (but may be renewed). </w:t>
      </w:r>
    </w:p>
    <w:p w14:paraId="5D4EF98F" w14:textId="77777777" w:rsidR="001F6696" w:rsidRPr="001F6696" w:rsidRDefault="001F6696" w:rsidP="001F6696">
      <w:pPr>
        <w:widowControl w:val="0"/>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The criminal standard of proof continues to apply. The person concerned is able to appeal against the making of the order and the police or the person concerned are able to apply for the order to be varied, renewed or discharged.</w:t>
      </w:r>
    </w:p>
    <w:p w14:paraId="39C8C123" w14:textId="77777777" w:rsidR="001F6696" w:rsidRPr="001F6696" w:rsidRDefault="001F6696" w:rsidP="001F6696">
      <w:pPr>
        <w:widowControl w:val="0"/>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 xml:space="preserve">A breach of an SRO is a criminal offence punishable by a maximum of five years’ imprisonment. Where an individual breaches their SRO, they will become subject to full notification requirements.  </w:t>
      </w:r>
    </w:p>
    <w:p w14:paraId="65A61B8D" w14:textId="77777777" w:rsidR="001F6696" w:rsidRPr="001F6696" w:rsidRDefault="001F6696" w:rsidP="001F6696">
      <w:pPr>
        <w:spacing w:after="240" w:line="260" w:lineRule="exact"/>
        <w:jc w:val="both"/>
        <w:rPr>
          <w:rFonts w:ascii="Arial" w:hAnsi="Arial" w:cs="Arial"/>
          <w:color w:val="auto"/>
        </w:rPr>
      </w:pPr>
      <w:r w:rsidRPr="001F6696">
        <w:rPr>
          <w:rFonts w:ascii="Arial" w:hAnsi="Arial" w:cs="Arial"/>
          <w:color w:val="auto"/>
        </w:rPr>
        <w:t>Individuals made subject of an SRO are recorded on VISOR as a Potentially Dangerous Person (PDP).</w:t>
      </w:r>
    </w:p>
    <w:p w14:paraId="307BE723" w14:textId="77777777" w:rsidR="001F6696" w:rsidRPr="001F6696" w:rsidRDefault="001F6696" w:rsidP="001F6696">
      <w:pPr>
        <w:keepNext/>
        <w:keepLines/>
        <w:spacing w:after="240" w:line="260" w:lineRule="exact"/>
        <w:jc w:val="both"/>
        <w:outlineLvl w:val="3"/>
        <w:rPr>
          <w:rFonts w:ascii="Arial" w:eastAsiaTheme="majorEastAsia" w:hAnsi="Arial" w:cs="Arial"/>
          <w:bCs/>
          <w:iCs/>
          <w:color w:val="auto"/>
        </w:rPr>
      </w:pPr>
      <w:r w:rsidRPr="001F6696">
        <w:rPr>
          <w:rFonts w:ascii="Arial" w:eastAsiaTheme="majorEastAsia" w:hAnsi="Arial" w:cs="Arial"/>
          <w:b/>
          <w:iCs/>
          <w:color w:val="7030A0"/>
        </w:rPr>
        <w:t xml:space="preserve">(j) Lifetime notification requirements revoked on application </w:t>
      </w:r>
      <w:r w:rsidRPr="001F6696">
        <w:rPr>
          <w:rFonts w:ascii="Arial" w:eastAsiaTheme="majorEastAsia" w:hAnsi="Arial" w:cs="Arial"/>
          <w:bCs/>
          <w:iCs/>
          <w:color w:val="auto"/>
        </w:rPr>
        <w:t>– A legal challenge in 2010 and a corresponding legislative response means there is a mechanism in place that allows qualifying individuals to apply for a review of their notification requirements. Qualifying individuals may submit an application to the police to review their indefinite notification requirements. The police review the application and decide whether to revoke the notification requirements. This decision is made at the rank of Superintendent. Those who continue to pose a significant risk will remain subject to notification requirements for life, if necessary.</w:t>
      </w:r>
    </w:p>
    <w:p w14:paraId="1C5EE74F" w14:textId="77777777" w:rsidR="001F6696" w:rsidRPr="001F6696" w:rsidRDefault="001F6696" w:rsidP="001F6696">
      <w:pPr>
        <w:autoSpaceDE w:val="0"/>
        <w:autoSpaceDN w:val="0"/>
        <w:adjustRightInd w:val="0"/>
        <w:spacing w:after="240" w:line="260" w:lineRule="exact"/>
        <w:jc w:val="both"/>
        <w:rPr>
          <w:rFonts w:ascii="Arial" w:hAnsi="Arial" w:cs="Arial"/>
          <w:color w:val="000000"/>
        </w:rPr>
      </w:pPr>
      <w:r w:rsidRPr="001F6696">
        <w:rPr>
          <w:rFonts w:ascii="Arial" w:hAnsi="Arial" w:cs="Arial"/>
          <w:color w:val="000000"/>
        </w:rPr>
        <w:t xml:space="preserve">Individuals will only become eligible to seek a review once they have been subject to indefinite notification requirements for a period of at least 15 years for adults and 8 years for juveniles. </w:t>
      </w:r>
    </w:p>
    <w:p w14:paraId="3E4087E6" w14:textId="22712F30" w:rsidR="001F6696" w:rsidRPr="00ED25C1" w:rsidRDefault="001F6696" w:rsidP="00332EE6">
      <w:pPr>
        <w:pStyle w:val="MAPPA-Bodytext"/>
        <w:rPr>
          <w:szCs w:val="28"/>
        </w:rPr>
        <w:sectPr w:rsidR="001F6696" w:rsidRPr="00ED25C1" w:rsidSect="00867C9E">
          <w:type w:val="continuous"/>
          <w:pgSz w:w="11905" w:h="16837" w:code="9"/>
          <w:pgMar w:top="720" w:right="720" w:bottom="720" w:left="720" w:header="720" w:footer="567" w:gutter="0"/>
          <w:cols w:num="2" w:space="720"/>
          <w:noEndnote/>
        </w:sectPr>
      </w:pPr>
    </w:p>
    <w:p w14:paraId="3FE725F6" w14:textId="11977F0A" w:rsidR="00987766" w:rsidRDefault="00987766" w:rsidP="008C0C55">
      <w:pPr>
        <w:pStyle w:val="MAPPA-Bodytext"/>
        <w:spacing w:before="240" w:line="240" w:lineRule="atLeast"/>
        <w:jc w:val="center"/>
        <w:rPr>
          <w:b/>
          <w:bCs/>
          <w:color w:val="7030A0"/>
          <w:sz w:val="26"/>
          <w:szCs w:val="26"/>
        </w:rPr>
      </w:pPr>
      <w:r>
        <w:rPr>
          <w:noProof/>
        </w:rPr>
        <w:lastRenderedPageBreak/>
        <w:drawing>
          <wp:inline distT="0" distB="0" distL="0" distR="0" wp14:anchorId="08E1D91D" wp14:editId="63CBD711">
            <wp:extent cx="7527290" cy="4614866"/>
            <wp:effectExtent l="0" t="0" r="0" b="0"/>
            <wp:docPr id="8" name="Picture 8" descr="Picture of Saltbur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Saltburn beach"/>
                    <pic:cNvPicPr>
                      <a:picLocks noChangeAspect="1" noChangeArrowheads="1"/>
                    </pic:cNvPicPr>
                  </pic:nvPicPr>
                  <pic:blipFill>
                    <a:blip r:embed="rId20">
                      <a:alphaModFix amt="58000"/>
                      <a:extLst>
                        <a:ext uri="{28A0092B-C50C-407E-A947-70E740481C1C}">
                          <a14:useLocalDpi xmlns:a14="http://schemas.microsoft.com/office/drawing/2010/main" val="0"/>
                        </a:ext>
                      </a:extLst>
                    </a:blip>
                    <a:srcRect/>
                    <a:stretch>
                      <a:fillRect/>
                    </a:stretch>
                  </pic:blipFill>
                  <pic:spPr bwMode="auto">
                    <a:xfrm>
                      <a:off x="0" y="0"/>
                      <a:ext cx="7546708" cy="4626771"/>
                    </a:xfrm>
                    <a:prstGeom prst="rect">
                      <a:avLst/>
                    </a:prstGeom>
                    <a:noFill/>
                    <a:ln>
                      <a:noFill/>
                    </a:ln>
                  </pic:spPr>
                </pic:pic>
              </a:graphicData>
            </a:graphic>
          </wp:inline>
        </w:drawing>
      </w:r>
    </w:p>
    <w:p w14:paraId="26BF042F" w14:textId="77777777" w:rsidR="00EE56D3" w:rsidRDefault="00EE56D3" w:rsidP="008A4C5F">
      <w:pPr>
        <w:pStyle w:val="MAPPA-Bodytext"/>
        <w:jc w:val="center"/>
        <w:rPr>
          <w:b/>
          <w:bCs/>
          <w:color w:val="7030A0"/>
          <w:sz w:val="26"/>
          <w:szCs w:val="26"/>
        </w:rPr>
        <w:sectPr w:rsidR="00EE56D3" w:rsidSect="00EE56D3">
          <w:footerReference w:type="default" r:id="rId21"/>
          <w:pgSz w:w="11905" w:h="16837" w:code="9"/>
          <w:pgMar w:top="720" w:right="0" w:bottom="720" w:left="0" w:header="720" w:footer="567" w:gutter="0"/>
          <w:cols w:space="720"/>
          <w:noEndnote/>
          <w:docGrid w:linePitch="360"/>
        </w:sectPr>
      </w:pPr>
    </w:p>
    <w:p w14:paraId="7E38617F" w14:textId="1B2B228F" w:rsidR="008A4C5F" w:rsidRDefault="008A4C5F" w:rsidP="008A4C5F">
      <w:pPr>
        <w:pStyle w:val="MAPPA-Bodytext"/>
        <w:jc w:val="center"/>
        <w:rPr>
          <w:b/>
          <w:bCs/>
          <w:color w:val="7030A0"/>
          <w:sz w:val="26"/>
          <w:szCs w:val="26"/>
        </w:rPr>
      </w:pPr>
    </w:p>
    <w:p w14:paraId="60D992A7" w14:textId="77777777" w:rsidR="00880650" w:rsidRDefault="00880650" w:rsidP="008A4C5F">
      <w:pPr>
        <w:pStyle w:val="MAPPA-Bodytext"/>
        <w:jc w:val="center"/>
        <w:rPr>
          <w:b/>
          <w:bCs/>
          <w:color w:val="7030A0"/>
          <w:sz w:val="26"/>
          <w:szCs w:val="26"/>
        </w:rPr>
      </w:pPr>
    </w:p>
    <w:p w14:paraId="0B00A588" w14:textId="61CB36BD" w:rsidR="00833AD5" w:rsidRPr="00ED25C1" w:rsidRDefault="00833AD5" w:rsidP="008A4C5F">
      <w:pPr>
        <w:pStyle w:val="MAPPA-Bodytext"/>
        <w:jc w:val="center"/>
        <w:rPr>
          <w:b/>
          <w:bCs/>
          <w:color w:val="7030A0"/>
          <w:sz w:val="26"/>
          <w:szCs w:val="26"/>
        </w:rPr>
      </w:pPr>
      <w:r w:rsidRPr="00ED25C1">
        <w:rPr>
          <w:b/>
          <w:bCs/>
          <w:color w:val="7030A0"/>
          <w:sz w:val="26"/>
          <w:szCs w:val="26"/>
        </w:rPr>
        <w:t xml:space="preserve">All </w:t>
      </w:r>
      <w:r w:rsidR="00A41D7B">
        <w:rPr>
          <w:b/>
          <w:bCs/>
          <w:color w:val="7030A0"/>
          <w:sz w:val="26"/>
          <w:szCs w:val="26"/>
        </w:rPr>
        <w:t>M</w:t>
      </w:r>
      <w:r w:rsidRPr="00ED25C1">
        <w:rPr>
          <w:b/>
          <w:bCs/>
          <w:color w:val="7030A0"/>
          <w:sz w:val="26"/>
          <w:szCs w:val="26"/>
        </w:rPr>
        <w:t>APPA reports from England and Wales are published online at:</w:t>
      </w:r>
    </w:p>
    <w:p w14:paraId="3BD99B9F" w14:textId="72A2C41F" w:rsidR="00833AD5" w:rsidRPr="00987766" w:rsidRDefault="005A195D" w:rsidP="00987766">
      <w:pPr>
        <w:pStyle w:val="MAPPA-Bodytext"/>
        <w:jc w:val="center"/>
        <w:rPr>
          <w:b/>
          <w:bCs/>
          <w:color w:val="007DC3"/>
          <w:sz w:val="26"/>
          <w:szCs w:val="26"/>
        </w:rPr>
      </w:pPr>
      <w:hyperlink r:id="rId22" w:history="1">
        <w:r w:rsidR="00833AD5" w:rsidRPr="00ED25C1">
          <w:rPr>
            <w:rStyle w:val="Hyperlink"/>
            <w:rFonts w:cs="Arial"/>
            <w:b/>
            <w:bCs/>
            <w:sz w:val="26"/>
            <w:szCs w:val="26"/>
          </w:rPr>
          <w:t>www.gov.uk</w:t>
        </w:r>
      </w:hyperlink>
    </w:p>
    <w:tbl>
      <w:tblPr>
        <w:tblStyle w:val="TableGrid"/>
        <w:tblpPr w:leftFromText="180" w:rightFromText="180" w:vertAnchor="text" w:horzAnchor="margin" w:tblpY="25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360"/>
        <w:gridCol w:w="3399"/>
      </w:tblGrid>
      <w:tr w:rsidR="00833AD5" w:rsidRPr="00ED25C1" w14:paraId="6724494A" w14:textId="77777777" w:rsidTr="00833AD5">
        <w:tc>
          <w:tcPr>
            <w:tcW w:w="3696" w:type="dxa"/>
          </w:tcPr>
          <w:p w14:paraId="10A0110A" w14:textId="2CE3A6CD" w:rsidR="00FF53F6" w:rsidRDefault="00FF53F6" w:rsidP="00FF53F6">
            <w:pPr>
              <w:pStyle w:val="MAPPA-Bodytext"/>
              <w:spacing w:line="240" w:lineRule="atLeast"/>
              <w:jc w:val="center"/>
              <w:rPr>
                <w:b/>
                <w:bCs/>
                <w:color w:val="7030A0"/>
                <w:sz w:val="26"/>
                <w:szCs w:val="26"/>
              </w:rPr>
            </w:pPr>
          </w:p>
          <w:p w14:paraId="5D97F1D2" w14:textId="3482BF6B" w:rsidR="00833AD5" w:rsidRPr="00ED25C1" w:rsidRDefault="00FF53F6" w:rsidP="00FF53F6">
            <w:pPr>
              <w:pStyle w:val="MAPPA-Bodytext"/>
              <w:spacing w:line="240" w:lineRule="atLeast"/>
              <w:jc w:val="center"/>
              <w:rPr>
                <w:b/>
                <w:bCs/>
                <w:color w:val="7030A0"/>
                <w:sz w:val="26"/>
                <w:szCs w:val="26"/>
              </w:rPr>
            </w:pPr>
            <w:r>
              <w:rPr>
                <w:noProof/>
              </w:rPr>
              <w:drawing>
                <wp:inline distT="0" distB="0" distL="0" distR="0" wp14:anchorId="01B40134" wp14:editId="012225B0">
                  <wp:extent cx="2057400" cy="818965"/>
                  <wp:effectExtent l="0" t="0" r="0" b="635"/>
                  <wp:docPr id="11" name="Picture 11" descr="Proba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bation Service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818965"/>
                          </a:xfrm>
                          <a:prstGeom prst="rect">
                            <a:avLst/>
                          </a:prstGeom>
                          <a:noFill/>
                          <a:ln>
                            <a:noFill/>
                          </a:ln>
                        </pic:spPr>
                      </pic:pic>
                    </a:graphicData>
                  </a:graphic>
                </wp:inline>
              </w:drawing>
            </w:r>
          </w:p>
        </w:tc>
        <w:tc>
          <w:tcPr>
            <w:tcW w:w="3360" w:type="dxa"/>
          </w:tcPr>
          <w:p w14:paraId="258767E4" w14:textId="77777777" w:rsidR="00FF53F6" w:rsidRDefault="00FF53F6" w:rsidP="00FF53F6">
            <w:pPr>
              <w:pStyle w:val="MAPPA-Bodytext"/>
              <w:spacing w:line="240" w:lineRule="atLeast"/>
              <w:jc w:val="center"/>
              <w:rPr>
                <w:b/>
                <w:bCs/>
                <w:color w:val="7030A0"/>
                <w:sz w:val="26"/>
                <w:szCs w:val="26"/>
              </w:rPr>
            </w:pPr>
          </w:p>
          <w:p w14:paraId="2924EB1E" w14:textId="52F17238" w:rsidR="00FF53F6" w:rsidRPr="00ED25C1" w:rsidRDefault="00FF53F6" w:rsidP="00FF53F6">
            <w:pPr>
              <w:pStyle w:val="MAPPA-Bodytext"/>
              <w:spacing w:line="240" w:lineRule="atLeast"/>
              <w:jc w:val="center"/>
              <w:rPr>
                <w:b/>
                <w:bCs/>
                <w:color w:val="7030A0"/>
                <w:sz w:val="26"/>
                <w:szCs w:val="26"/>
              </w:rPr>
            </w:pPr>
            <w:r w:rsidRPr="00ED25C1">
              <w:rPr>
                <w:noProof/>
                <w:color w:val="7030A0"/>
                <w:lang w:val="en-GB"/>
              </w:rPr>
              <w:drawing>
                <wp:inline distT="0" distB="0" distL="0" distR="0" wp14:anchorId="13B7BFB7" wp14:editId="0B427C24">
                  <wp:extent cx="1464945" cy="971550"/>
                  <wp:effectExtent l="0" t="0" r="1905" b="0"/>
                  <wp:docPr id="4" name="Picture 4" descr="HM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 Prison Service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945" cy="971550"/>
                          </a:xfrm>
                          <a:prstGeom prst="rect">
                            <a:avLst/>
                          </a:prstGeom>
                          <a:noFill/>
                        </pic:spPr>
                      </pic:pic>
                    </a:graphicData>
                  </a:graphic>
                </wp:inline>
              </w:drawing>
            </w:r>
          </w:p>
        </w:tc>
        <w:tc>
          <w:tcPr>
            <w:tcW w:w="3399" w:type="dxa"/>
          </w:tcPr>
          <w:p w14:paraId="7B9C4D05" w14:textId="77777777" w:rsidR="00FF53F6" w:rsidRDefault="00FF53F6" w:rsidP="00FF53F6">
            <w:pPr>
              <w:pStyle w:val="MAPPA-Bodytext"/>
              <w:spacing w:line="240" w:lineRule="atLeast"/>
              <w:jc w:val="center"/>
              <w:rPr>
                <w:b/>
                <w:bCs/>
                <w:color w:val="7030A0"/>
                <w:sz w:val="26"/>
                <w:szCs w:val="26"/>
              </w:rPr>
            </w:pPr>
          </w:p>
          <w:p w14:paraId="085CB1F9" w14:textId="14DA3FC8" w:rsidR="00833AD5" w:rsidRPr="00ED25C1" w:rsidRDefault="00FF53F6" w:rsidP="0071794D">
            <w:pPr>
              <w:pStyle w:val="MAPPA-Bodytext"/>
              <w:spacing w:line="240" w:lineRule="atLeast"/>
              <w:jc w:val="center"/>
              <w:rPr>
                <w:b/>
                <w:bCs/>
                <w:color w:val="7030A0"/>
                <w:sz w:val="26"/>
                <w:szCs w:val="26"/>
              </w:rPr>
            </w:pPr>
            <w:r w:rsidRPr="00ED25C1">
              <w:rPr>
                <w:b/>
                <w:bCs/>
                <w:noProof/>
                <w:color w:val="7030A0"/>
                <w:sz w:val="26"/>
                <w:szCs w:val="26"/>
              </w:rPr>
              <w:drawing>
                <wp:inline distT="0" distB="0" distL="0" distR="0" wp14:anchorId="51B293A9" wp14:editId="5301084C">
                  <wp:extent cx="733425" cy="1109345"/>
                  <wp:effectExtent l="0" t="0" r="9525" b="0"/>
                  <wp:docPr id="5" name="Picture 5" descr="Cleveland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leveland Police logo"/>
                          <pic:cNvPicPr/>
                        </pic:nvPicPr>
                        <pic:blipFill>
                          <a:blip r:embed="rId25"/>
                          <a:stretch>
                            <a:fillRect/>
                          </a:stretch>
                        </pic:blipFill>
                        <pic:spPr>
                          <a:xfrm>
                            <a:off x="0" y="0"/>
                            <a:ext cx="733425" cy="1109345"/>
                          </a:xfrm>
                          <a:prstGeom prst="rect">
                            <a:avLst/>
                          </a:prstGeom>
                        </pic:spPr>
                      </pic:pic>
                    </a:graphicData>
                  </a:graphic>
                </wp:inline>
              </w:drawing>
            </w:r>
          </w:p>
        </w:tc>
      </w:tr>
    </w:tbl>
    <w:p w14:paraId="2C7532F0" w14:textId="6B4B161C" w:rsidR="00DE3907" w:rsidRPr="00ED25C1" w:rsidRDefault="00DE3907" w:rsidP="00833AD5">
      <w:pPr>
        <w:pStyle w:val="MAPPA-Bodytext"/>
        <w:jc w:val="center"/>
        <w:rPr>
          <w:b/>
          <w:bCs/>
          <w:color w:val="7030A0"/>
          <w:sz w:val="26"/>
          <w:szCs w:val="26"/>
        </w:rPr>
      </w:pPr>
    </w:p>
    <w:bookmarkEnd w:id="0"/>
    <w:p w14:paraId="154AFD3B" w14:textId="261FC08E" w:rsidR="001F2AE1" w:rsidRPr="00ED25C1" w:rsidRDefault="001F2AE1">
      <w:pPr>
        <w:pStyle w:val="MAPPA-Bodytext"/>
        <w:jc w:val="center"/>
        <w:rPr>
          <w:b/>
          <w:bCs/>
          <w:color w:val="7030A0"/>
          <w:sz w:val="26"/>
          <w:szCs w:val="26"/>
        </w:rPr>
      </w:pPr>
    </w:p>
    <w:sectPr w:rsidR="001F2AE1" w:rsidRPr="00ED25C1" w:rsidSect="00EE56D3">
      <w:type w:val="continuous"/>
      <w:pgSz w:w="11905" w:h="16837" w:code="9"/>
      <w:pgMar w:top="720" w:right="720" w:bottom="720" w:left="720" w:header="720" w:footer="56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44692" w14:textId="77777777" w:rsidR="007314A5" w:rsidRDefault="007314A5" w:rsidP="001A5708">
      <w:pPr>
        <w:pStyle w:val="MAPPA-Bodytext"/>
      </w:pPr>
      <w:r>
        <w:separator/>
      </w:r>
    </w:p>
  </w:endnote>
  <w:endnote w:type="continuationSeparator" w:id="0">
    <w:p w14:paraId="5FC39A69" w14:textId="77777777" w:rsidR="007314A5" w:rsidRDefault="007314A5" w:rsidP="001A5708">
      <w:pPr>
        <w:pStyle w:val="MAPPA-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iss 2 Medium">
    <w:altName w:val="Arial"/>
    <w:panose1 w:val="00000000000000000000"/>
    <w:charset w:val="00"/>
    <w:family w:val="moder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17116" w14:textId="77777777" w:rsidR="00332EE6" w:rsidRPr="00F42A1E" w:rsidRDefault="00332EE6" w:rsidP="00F42A1E">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5D88" w14:textId="77777777" w:rsidR="00ED25C1" w:rsidRPr="00F42A1E" w:rsidRDefault="00ED25C1" w:rsidP="00F42A1E">
    <w:pPr>
      <w:pStyle w:val="Footer"/>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2BDC" w14:textId="62816662" w:rsidR="00332EE6" w:rsidRPr="00F42A1E" w:rsidRDefault="00332EE6" w:rsidP="00F42A1E">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ED53" w14:textId="1941AE39" w:rsidR="00332EE6" w:rsidRPr="00F42A1E" w:rsidRDefault="00332EE6" w:rsidP="00F42A1E">
    <w:pPr>
      <w:pStyle w:val="Footer"/>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1BB3" w14:textId="77777777" w:rsidR="00DE3907" w:rsidRPr="00867C9E" w:rsidRDefault="00DE3907" w:rsidP="00867C9E">
    <w:pPr>
      <w:pStyle w:val="Footer"/>
      <w:tabs>
        <w:tab w:val="clear" w:pos="4153"/>
        <w:tab w:val="clear" w:pos="8306"/>
      </w:tabs>
      <w:rPr>
        <w:rStyle w:val="PageNumbe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15C68" w14:textId="77777777" w:rsidR="007314A5" w:rsidRDefault="007314A5" w:rsidP="001A5708">
      <w:pPr>
        <w:pStyle w:val="MAPPA-Bodytext"/>
      </w:pPr>
      <w:r>
        <w:separator/>
      </w:r>
    </w:p>
  </w:footnote>
  <w:footnote w:type="continuationSeparator" w:id="0">
    <w:p w14:paraId="15056D65" w14:textId="77777777" w:rsidR="007314A5" w:rsidRDefault="007314A5" w:rsidP="001A5708">
      <w:pPr>
        <w:pStyle w:val="MAPPA-Bodytex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274CA9"/>
    <w:multiLevelType w:val="hybridMultilevel"/>
    <w:tmpl w:val="7FEE3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A33425"/>
    <w:multiLevelType w:val="hybridMultilevel"/>
    <w:tmpl w:val="344CD5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8160376"/>
    <w:multiLevelType w:val="hybridMultilevel"/>
    <w:tmpl w:val="1F14AA0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4BD65AC"/>
    <w:multiLevelType w:val="hybridMultilevel"/>
    <w:tmpl w:val="91EE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F556E0"/>
    <w:multiLevelType w:val="hybridMultilevel"/>
    <w:tmpl w:val="26BE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F17701"/>
    <w:multiLevelType w:val="hybridMultilevel"/>
    <w:tmpl w:val="6C14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490AD1"/>
    <w:multiLevelType w:val="hybridMultilevel"/>
    <w:tmpl w:val="28F4A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49837">
    <w:abstractNumId w:val="5"/>
  </w:num>
  <w:num w:numId="2" w16cid:durableId="479928887">
    <w:abstractNumId w:val="6"/>
  </w:num>
  <w:num w:numId="3" w16cid:durableId="214701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52604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06862340">
    <w:abstractNumId w:val="3"/>
  </w:num>
  <w:num w:numId="6" w16cid:durableId="1020934563">
    <w:abstractNumId w:val="1"/>
  </w:num>
  <w:num w:numId="7" w16cid:durableId="548808393">
    <w:abstractNumId w:val="2"/>
  </w:num>
  <w:num w:numId="8" w16cid:durableId="1307395152">
    <w:abstractNumId w:val="4"/>
  </w:num>
  <w:num w:numId="9" w16cid:durableId="1882791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mirrorMargin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8A2"/>
    <w:rsid w:val="00010BE5"/>
    <w:rsid w:val="00010D36"/>
    <w:rsid w:val="00010EAE"/>
    <w:rsid w:val="00012E4C"/>
    <w:rsid w:val="00036426"/>
    <w:rsid w:val="000536B2"/>
    <w:rsid w:val="0009323B"/>
    <w:rsid w:val="000A6775"/>
    <w:rsid w:val="00120884"/>
    <w:rsid w:val="001435D5"/>
    <w:rsid w:val="00154D3E"/>
    <w:rsid w:val="00185FB2"/>
    <w:rsid w:val="001A5708"/>
    <w:rsid w:val="001B0CC5"/>
    <w:rsid w:val="001E2BE8"/>
    <w:rsid w:val="001E4AC5"/>
    <w:rsid w:val="001E793A"/>
    <w:rsid w:val="001F0E43"/>
    <w:rsid w:val="001F2AE1"/>
    <w:rsid w:val="001F341F"/>
    <w:rsid w:val="001F3FB5"/>
    <w:rsid w:val="001F6696"/>
    <w:rsid w:val="0020607B"/>
    <w:rsid w:val="00233AB5"/>
    <w:rsid w:val="002446A8"/>
    <w:rsid w:val="00256DAD"/>
    <w:rsid w:val="002621F5"/>
    <w:rsid w:val="002652AD"/>
    <w:rsid w:val="002811B0"/>
    <w:rsid w:val="00282372"/>
    <w:rsid w:val="002A03F4"/>
    <w:rsid w:val="002A5E53"/>
    <w:rsid w:val="002C0567"/>
    <w:rsid w:val="002D56E1"/>
    <w:rsid w:val="002D5862"/>
    <w:rsid w:val="002F08DA"/>
    <w:rsid w:val="00302FA6"/>
    <w:rsid w:val="00316394"/>
    <w:rsid w:val="00325143"/>
    <w:rsid w:val="00331827"/>
    <w:rsid w:val="00332EE6"/>
    <w:rsid w:val="00337928"/>
    <w:rsid w:val="00347A55"/>
    <w:rsid w:val="00397110"/>
    <w:rsid w:val="003B6695"/>
    <w:rsid w:val="003C0362"/>
    <w:rsid w:val="003C36DD"/>
    <w:rsid w:val="003E6AD5"/>
    <w:rsid w:val="0040003B"/>
    <w:rsid w:val="004219E0"/>
    <w:rsid w:val="00441138"/>
    <w:rsid w:val="0044659C"/>
    <w:rsid w:val="00447974"/>
    <w:rsid w:val="0045477C"/>
    <w:rsid w:val="00476A59"/>
    <w:rsid w:val="004C40BA"/>
    <w:rsid w:val="004C6460"/>
    <w:rsid w:val="004D1D77"/>
    <w:rsid w:val="004E4CDB"/>
    <w:rsid w:val="005541E4"/>
    <w:rsid w:val="00560418"/>
    <w:rsid w:val="00561E0B"/>
    <w:rsid w:val="00563E49"/>
    <w:rsid w:val="005773AC"/>
    <w:rsid w:val="005A195D"/>
    <w:rsid w:val="005E0022"/>
    <w:rsid w:val="005E1880"/>
    <w:rsid w:val="005E20D8"/>
    <w:rsid w:val="005E2850"/>
    <w:rsid w:val="005F28B2"/>
    <w:rsid w:val="0062751A"/>
    <w:rsid w:val="00661EDF"/>
    <w:rsid w:val="00662BE5"/>
    <w:rsid w:val="006644CD"/>
    <w:rsid w:val="006645A8"/>
    <w:rsid w:val="00673321"/>
    <w:rsid w:val="00683239"/>
    <w:rsid w:val="00683555"/>
    <w:rsid w:val="00683618"/>
    <w:rsid w:val="0069414D"/>
    <w:rsid w:val="00695CEC"/>
    <w:rsid w:val="006A056D"/>
    <w:rsid w:val="006C58FB"/>
    <w:rsid w:val="006D6914"/>
    <w:rsid w:val="006F236C"/>
    <w:rsid w:val="007000D6"/>
    <w:rsid w:val="007059C7"/>
    <w:rsid w:val="0071794D"/>
    <w:rsid w:val="00717E7B"/>
    <w:rsid w:val="00722F6A"/>
    <w:rsid w:val="00730FAC"/>
    <w:rsid w:val="007314A5"/>
    <w:rsid w:val="00733747"/>
    <w:rsid w:val="00735E92"/>
    <w:rsid w:val="00744D61"/>
    <w:rsid w:val="007477FB"/>
    <w:rsid w:val="0075264A"/>
    <w:rsid w:val="00754EEF"/>
    <w:rsid w:val="00780F68"/>
    <w:rsid w:val="00786A3A"/>
    <w:rsid w:val="007A33F0"/>
    <w:rsid w:val="007A47E1"/>
    <w:rsid w:val="007B7706"/>
    <w:rsid w:val="007C0669"/>
    <w:rsid w:val="007C08AC"/>
    <w:rsid w:val="007C095C"/>
    <w:rsid w:val="007C6C9E"/>
    <w:rsid w:val="007C7106"/>
    <w:rsid w:val="007D1D47"/>
    <w:rsid w:val="007E2BA1"/>
    <w:rsid w:val="00815132"/>
    <w:rsid w:val="008218B2"/>
    <w:rsid w:val="00833AD5"/>
    <w:rsid w:val="00837BFD"/>
    <w:rsid w:val="008453C4"/>
    <w:rsid w:val="0084578C"/>
    <w:rsid w:val="00846E32"/>
    <w:rsid w:val="0084784F"/>
    <w:rsid w:val="00856D56"/>
    <w:rsid w:val="00867C9E"/>
    <w:rsid w:val="00880650"/>
    <w:rsid w:val="0089121C"/>
    <w:rsid w:val="008A4C5F"/>
    <w:rsid w:val="008B55DE"/>
    <w:rsid w:val="008C0C55"/>
    <w:rsid w:val="008C1531"/>
    <w:rsid w:val="008C3C42"/>
    <w:rsid w:val="008C6282"/>
    <w:rsid w:val="008D1D3C"/>
    <w:rsid w:val="008E15B2"/>
    <w:rsid w:val="008E2C4B"/>
    <w:rsid w:val="008F243E"/>
    <w:rsid w:val="008F69D6"/>
    <w:rsid w:val="0090299B"/>
    <w:rsid w:val="00904927"/>
    <w:rsid w:val="0091273E"/>
    <w:rsid w:val="00912A31"/>
    <w:rsid w:val="0092048C"/>
    <w:rsid w:val="009311B4"/>
    <w:rsid w:val="00940740"/>
    <w:rsid w:val="0095383C"/>
    <w:rsid w:val="00962504"/>
    <w:rsid w:val="0097502F"/>
    <w:rsid w:val="00976FA2"/>
    <w:rsid w:val="00987766"/>
    <w:rsid w:val="009B20E8"/>
    <w:rsid w:val="009C3B63"/>
    <w:rsid w:val="009F5E8E"/>
    <w:rsid w:val="00A048B0"/>
    <w:rsid w:val="00A05535"/>
    <w:rsid w:val="00A24965"/>
    <w:rsid w:val="00A35595"/>
    <w:rsid w:val="00A41D7B"/>
    <w:rsid w:val="00A44770"/>
    <w:rsid w:val="00A92CE4"/>
    <w:rsid w:val="00AC3FBF"/>
    <w:rsid w:val="00AC6E16"/>
    <w:rsid w:val="00AD0E4F"/>
    <w:rsid w:val="00AD38C4"/>
    <w:rsid w:val="00AD78C6"/>
    <w:rsid w:val="00AE4C19"/>
    <w:rsid w:val="00AF7C22"/>
    <w:rsid w:val="00B23C80"/>
    <w:rsid w:val="00B24A02"/>
    <w:rsid w:val="00B436F7"/>
    <w:rsid w:val="00B46863"/>
    <w:rsid w:val="00B50D53"/>
    <w:rsid w:val="00B54114"/>
    <w:rsid w:val="00B614A4"/>
    <w:rsid w:val="00BA5ECB"/>
    <w:rsid w:val="00BB2E22"/>
    <w:rsid w:val="00BB6303"/>
    <w:rsid w:val="00BC0531"/>
    <w:rsid w:val="00BC169C"/>
    <w:rsid w:val="00BF736E"/>
    <w:rsid w:val="00C0210E"/>
    <w:rsid w:val="00C16E95"/>
    <w:rsid w:val="00C353CF"/>
    <w:rsid w:val="00C40C02"/>
    <w:rsid w:val="00C449EC"/>
    <w:rsid w:val="00C53C46"/>
    <w:rsid w:val="00C83D0E"/>
    <w:rsid w:val="00CA0563"/>
    <w:rsid w:val="00CB2C2F"/>
    <w:rsid w:val="00CB75D3"/>
    <w:rsid w:val="00CC713B"/>
    <w:rsid w:val="00CD04B6"/>
    <w:rsid w:val="00CF1FE2"/>
    <w:rsid w:val="00CF2EB1"/>
    <w:rsid w:val="00D16C41"/>
    <w:rsid w:val="00D33C90"/>
    <w:rsid w:val="00D57D76"/>
    <w:rsid w:val="00D8081A"/>
    <w:rsid w:val="00D83865"/>
    <w:rsid w:val="00D9019D"/>
    <w:rsid w:val="00D929AA"/>
    <w:rsid w:val="00D95BC1"/>
    <w:rsid w:val="00DA6F10"/>
    <w:rsid w:val="00DC02EE"/>
    <w:rsid w:val="00DC3228"/>
    <w:rsid w:val="00DC35A8"/>
    <w:rsid w:val="00DD60EC"/>
    <w:rsid w:val="00DE361C"/>
    <w:rsid w:val="00DE3907"/>
    <w:rsid w:val="00E16E1F"/>
    <w:rsid w:val="00E50500"/>
    <w:rsid w:val="00E53FDC"/>
    <w:rsid w:val="00E564BE"/>
    <w:rsid w:val="00E6461E"/>
    <w:rsid w:val="00E758B3"/>
    <w:rsid w:val="00EA28A2"/>
    <w:rsid w:val="00ED25C1"/>
    <w:rsid w:val="00ED543E"/>
    <w:rsid w:val="00EE119F"/>
    <w:rsid w:val="00EE56D3"/>
    <w:rsid w:val="00F0078E"/>
    <w:rsid w:val="00F04209"/>
    <w:rsid w:val="00F333E2"/>
    <w:rsid w:val="00F37895"/>
    <w:rsid w:val="00F42A1E"/>
    <w:rsid w:val="00F53385"/>
    <w:rsid w:val="00F536FE"/>
    <w:rsid w:val="00F53D72"/>
    <w:rsid w:val="00F7006F"/>
    <w:rsid w:val="00F73904"/>
    <w:rsid w:val="00F758AF"/>
    <w:rsid w:val="00F77BCE"/>
    <w:rsid w:val="00F77F11"/>
    <w:rsid w:val="00F83EB4"/>
    <w:rsid w:val="00FA4539"/>
    <w:rsid w:val="00FA7018"/>
    <w:rsid w:val="00FA794D"/>
    <w:rsid w:val="00FB1CF3"/>
    <w:rsid w:val="00FD5A6F"/>
    <w:rsid w:val="00FE0C63"/>
    <w:rsid w:val="00FE42DC"/>
    <w:rsid w:val="00FE7C43"/>
    <w:rsid w:val="00FF05DA"/>
    <w:rsid w:val="00FF53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2A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New Roman" w:hAnsi="Tahoma" w:cs="Tahoma"/>
        <w:color w:val="000000" w:themeColor="text1"/>
        <w:sz w:val="24"/>
        <w:szCs w:val="24"/>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D61"/>
  </w:style>
  <w:style w:type="paragraph" w:styleId="Heading2">
    <w:name w:val="heading 2"/>
    <w:basedOn w:val="Normal"/>
    <w:next w:val="Normal"/>
    <w:link w:val="Heading2Char"/>
    <w:semiHidden/>
    <w:unhideWhenUsed/>
    <w:qFormat/>
    <w:locked/>
    <w:rsid w:val="001F66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1E793A"/>
    <w:pPr>
      <w:widowControl w:val="0"/>
      <w:autoSpaceDE w:val="0"/>
      <w:autoSpaceDN w:val="0"/>
      <w:adjustRightInd w:val="0"/>
    </w:pPr>
    <w:rPr>
      <w:rFonts w:ascii="Bliss 2 Medium" w:hAnsi="Bliss 2 Medium" w:cs="Bliss 2 Medium"/>
      <w:color w:val="000000"/>
    </w:rPr>
  </w:style>
  <w:style w:type="paragraph" w:customStyle="1" w:styleId="NoParagraphStyle">
    <w:name w:val="[No Paragraph Style]"/>
    <w:uiPriority w:val="99"/>
    <w:rsid w:val="007000D6"/>
    <w:pPr>
      <w:autoSpaceDE w:val="0"/>
      <w:autoSpaceDN w:val="0"/>
      <w:adjustRightInd w:val="0"/>
      <w:spacing w:line="288" w:lineRule="auto"/>
      <w:textAlignment w:val="center"/>
    </w:pPr>
    <w:rPr>
      <w:rFonts w:ascii="Times" w:hAnsi="Times" w:cs="Times"/>
      <w:color w:val="000000"/>
      <w:lang w:val="en-US"/>
    </w:rPr>
  </w:style>
  <w:style w:type="paragraph" w:customStyle="1" w:styleId="BasicParagraph">
    <w:name w:val="[Basic Paragraph]"/>
    <w:basedOn w:val="NoParagraphStyle"/>
    <w:uiPriority w:val="99"/>
    <w:rsid w:val="007000D6"/>
  </w:style>
  <w:style w:type="paragraph" w:customStyle="1" w:styleId="MAPPA-HeadingPara">
    <w:name w:val="MAPPA-Heading Para"/>
    <w:basedOn w:val="BasicParagraph"/>
    <w:uiPriority w:val="99"/>
    <w:rsid w:val="007C08AC"/>
    <w:pPr>
      <w:spacing w:after="240" w:line="240" w:lineRule="auto"/>
    </w:pPr>
    <w:rPr>
      <w:rFonts w:ascii="Arial" w:hAnsi="Arial"/>
      <w:color w:val="007DC3"/>
      <w:sz w:val="38"/>
    </w:rPr>
  </w:style>
  <w:style w:type="paragraph" w:customStyle="1" w:styleId="MAPPA-Bodytext">
    <w:name w:val="MAPPA - Body text"/>
    <w:basedOn w:val="BasicParagraph"/>
    <w:uiPriority w:val="99"/>
    <w:rsid w:val="001F341F"/>
    <w:pPr>
      <w:suppressAutoHyphens/>
      <w:spacing w:after="240" w:line="260" w:lineRule="exact"/>
    </w:pPr>
    <w:rPr>
      <w:rFonts w:ascii="Arial" w:hAnsi="Arial" w:cs="Arial"/>
      <w:sz w:val="20"/>
      <w:szCs w:val="22"/>
    </w:rPr>
  </w:style>
  <w:style w:type="paragraph" w:customStyle="1" w:styleId="MAPPA-Heaingsection">
    <w:name w:val="MAPPA-Heaing section"/>
    <w:basedOn w:val="Default"/>
    <w:uiPriority w:val="99"/>
    <w:rsid w:val="003B6695"/>
    <w:rPr>
      <w:rFonts w:ascii="Arial" w:hAnsi="Arial" w:cs="Arial"/>
      <w:color w:val="007DC3"/>
      <w:sz w:val="100"/>
      <w:szCs w:val="118"/>
    </w:rPr>
  </w:style>
  <w:style w:type="character" w:styleId="Hyperlink">
    <w:name w:val="Hyperlink"/>
    <w:basedOn w:val="DefaultParagraphFont"/>
    <w:uiPriority w:val="99"/>
    <w:rsid w:val="007C08AC"/>
    <w:rPr>
      <w:rFonts w:cs="Times New Roman"/>
      <w:color w:val="0000FF"/>
      <w:u w:val="single"/>
    </w:rPr>
  </w:style>
  <w:style w:type="paragraph" w:customStyle="1" w:styleId="MAPPA-Bodytext-numbered">
    <w:name w:val="MAPPA - Body text - numbered"/>
    <w:basedOn w:val="MAPPA-Bodytext"/>
    <w:uiPriority w:val="99"/>
    <w:rsid w:val="001F341F"/>
    <w:pPr>
      <w:ind w:left="425" w:hanging="425"/>
    </w:pPr>
    <w:rPr>
      <w:rFonts w:cs="Times New Roman"/>
      <w:szCs w:val="20"/>
    </w:rPr>
  </w:style>
  <w:style w:type="table" w:styleId="TableGrid">
    <w:name w:val="Table Grid"/>
    <w:basedOn w:val="TableNormal"/>
    <w:uiPriority w:val="99"/>
    <w:rsid w:val="0068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PPA-Tabletext">
    <w:name w:val="MAPPA - Table text"/>
    <w:basedOn w:val="MAPPA-Bodytext"/>
    <w:uiPriority w:val="99"/>
    <w:rsid w:val="00C16E95"/>
    <w:pPr>
      <w:spacing w:before="30" w:after="30"/>
    </w:pPr>
    <w:rPr>
      <w:rFonts w:cs="Times New Roman"/>
      <w:szCs w:val="20"/>
    </w:rPr>
  </w:style>
  <w:style w:type="paragraph" w:customStyle="1" w:styleId="MAPPA-Bodytext-bulleted">
    <w:name w:val="MAPPA - Body text - bulleted"/>
    <w:basedOn w:val="MAPPA-Bodytext"/>
    <w:uiPriority w:val="99"/>
    <w:rsid w:val="001F341F"/>
    <w:pPr>
      <w:ind w:left="142" w:hanging="142"/>
    </w:pPr>
  </w:style>
  <w:style w:type="paragraph" w:customStyle="1" w:styleId="StyleMAPPA-TabletextBold">
    <w:name w:val="Style MAPPA - Table text + Bold"/>
    <w:basedOn w:val="MAPPA-Tabletext"/>
    <w:uiPriority w:val="99"/>
    <w:rsid w:val="00C16E95"/>
    <w:rPr>
      <w:b/>
      <w:bCs/>
    </w:rPr>
  </w:style>
  <w:style w:type="paragraph" w:styleId="Header">
    <w:name w:val="header"/>
    <w:basedOn w:val="Normal"/>
    <w:link w:val="HeaderChar"/>
    <w:uiPriority w:val="99"/>
    <w:rsid w:val="001A5708"/>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1A5708"/>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1A5708"/>
    <w:rPr>
      <w:rFonts w:cs="Times New Roman"/>
    </w:rPr>
  </w:style>
  <w:style w:type="character" w:styleId="CommentReference">
    <w:name w:val="annotation reference"/>
    <w:basedOn w:val="DefaultParagraphFont"/>
    <w:uiPriority w:val="99"/>
    <w:semiHidden/>
    <w:unhideWhenUsed/>
    <w:rsid w:val="007A47E1"/>
    <w:rPr>
      <w:sz w:val="16"/>
      <w:szCs w:val="16"/>
    </w:rPr>
  </w:style>
  <w:style w:type="paragraph" w:styleId="CommentText">
    <w:name w:val="annotation text"/>
    <w:basedOn w:val="Normal"/>
    <w:link w:val="CommentTextChar"/>
    <w:uiPriority w:val="99"/>
    <w:semiHidden/>
    <w:unhideWhenUsed/>
    <w:rsid w:val="007A47E1"/>
    <w:rPr>
      <w:sz w:val="20"/>
      <w:szCs w:val="20"/>
    </w:rPr>
  </w:style>
  <w:style w:type="character" w:customStyle="1" w:styleId="CommentTextChar">
    <w:name w:val="Comment Text Char"/>
    <w:basedOn w:val="DefaultParagraphFont"/>
    <w:link w:val="CommentText"/>
    <w:uiPriority w:val="99"/>
    <w:semiHidden/>
    <w:rsid w:val="007A47E1"/>
    <w:rPr>
      <w:sz w:val="20"/>
      <w:szCs w:val="20"/>
    </w:rPr>
  </w:style>
  <w:style w:type="paragraph" w:styleId="CommentSubject">
    <w:name w:val="annotation subject"/>
    <w:basedOn w:val="CommentText"/>
    <w:next w:val="CommentText"/>
    <w:link w:val="CommentSubjectChar"/>
    <w:uiPriority w:val="99"/>
    <w:semiHidden/>
    <w:unhideWhenUsed/>
    <w:rsid w:val="007A47E1"/>
    <w:rPr>
      <w:b/>
      <w:bCs/>
    </w:rPr>
  </w:style>
  <w:style w:type="character" w:customStyle="1" w:styleId="CommentSubjectChar">
    <w:name w:val="Comment Subject Char"/>
    <w:basedOn w:val="CommentTextChar"/>
    <w:link w:val="CommentSubject"/>
    <w:uiPriority w:val="99"/>
    <w:semiHidden/>
    <w:rsid w:val="007A47E1"/>
    <w:rPr>
      <w:b/>
      <w:bCs/>
      <w:sz w:val="20"/>
      <w:szCs w:val="20"/>
    </w:rPr>
  </w:style>
  <w:style w:type="paragraph" w:styleId="BalloonText">
    <w:name w:val="Balloon Text"/>
    <w:basedOn w:val="Normal"/>
    <w:link w:val="BalloonTextChar"/>
    <w:uiPriority w:val="99"/>
    <w:semiHidden/>
    <w:unhideWhenUsed/>
    <w:rsid w:val="007A47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7E1"/>
    <w:rPr>
      <w:rFonts w:ascii="Segoe UI" w:hAnsi="Segoe UI" w:cs="Segoe UI"/>
      <w:sz w:val="18"/>
      <w:szCs w:val="18"/>
    </w:rPr>
  </w:style>
  <w:style w:type="paragraph" w:styleId="Revision">
    <w:name w:val="Revision"/>
    <w:hidden/>
    <w:uiPriority w:val="99"/>
    <w:semiHidden/>
    <w:rsid w:val="00447974"/>
  </w:style>
  <w:style w:type="character" w:styleId="IntenseReference">
    <w:name w:val="Intense Reference"/>
    <w:basedOn w:val="DefaultParagraphFont"/>
    <w:uiPriority w:val="32"/>
    <w:qFormat/>
    <w:rsid w:val="009311B4"/>
    <w:rPr>
      <w:b/>
      <w:bCs/>
      <w:smallCaps/>
      <w:color w:val="4F81BD" w:themeColor="accent1"/>
      <w:spacing w:val="5"/>
    </w:rPr>
  </w:style>
  <w:style w:type="paragraph" w:styleId="ListParagraph">
    <w:name w:val="List Paragraph"/>
    <w:basedOn w:val="Normal"/>
    <w:uiPriority w:val="34"/>
    <w:qFormat/>
    <w:rsid w:val="00DD60EC"/>
    <w:pPr>
      <w:ind w:left="720"/>
    </w:pPr>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1B0CC5"/>
    <w:rPr>
      <w:color w:val="605E5C"/>
      <w:shd w:val="clear" w:color="auto" w:fill="E1DFDD"/>
    </w:rPr>
  </w:style>
  <w:style w:type="paragraph" w:customStyle="1" w:styleId="Style1">
    <w:name w:val="Style1"/>
    <w:basedOn w:val="Heading2"/>
    <w:link w:val="Style1Char"/>
    <w:qFormat/>
    <w:rsid w:val="001F6696"/>
    <w:pPr>
      <w:spacing w:line="360" w:lineRule="auto"/>
    </w:pPr>
    <w:rPr>
      <w:rFonts w:ascii="Arial" w:hAnsi="Arial"/>
      <w:color w:val="7030A0"/>
      <w:sz w:val="38"/>
      <w:szCs w:val="38"/>
    </w:rPr>
  </w:style>
  <w:style w:type="character" w:customStyle="1" w:styleId="Style1Char">
    <w:name w:val="Style1 Char"/>
    <w:basedOn w:val="Heading2Char"/>
    <w:link w:val="Style1"/>
    <w:rsid w:val="001F6696"/>
    <w:rPr>
      <w:rFonts w:ascii="Arial" w:eastAsiaTheme="majorEastAsia" w:hAnsi="Arial" w:cstheme="majorBidi"/>
      <w:color w:val="7030A0"/>
      <w:sz w:val="38"/>
      <w:szCs w:val="38"/>
    </w:rPr>
  </w:style>
  <w:style w:type="character" w:customStyle="1" w:styleId="Heading2Char">
    <w:name w:val="Heading 2 Char"/>
    <w:basedOn w:val="DefaultParagraphFont"/>
    <w:link w:val="Heading2"/>
    <w:semiHidden/>
    <w:rsid w:val="001F6696"/>
    <w:rPr>
      <w:rFonts w:asciiTheme="majorHAnsi" w:eastAsiaTheme="majorEastAsia" w:hAnsiTheme="majorHAnsi" w:cstheme="majorBidi"/>
      <w:color w:val="365F91" w:themeColor="accent1" w:themeShade="BF"/>
      <w:sz w:val="26"/>
      <w:szCs w:val="26"/>
    </w:rPr>
  </w:style>
  <w:style w:type="table" w:customStyle="1" w:styleId="Style4">
    <w:name w:val="Style4"/>
    <w:basedOn w:val="TableGrid2"/>
    <w:uiPriority w:val="99"/>
    <w:rsid w:val="001F6696"/>
    <w:rPr>
      <w:rFonts w:ascii="Arial" w:hAnsi="Arial" w:cs="Times New Roman"/>
      <w:b/>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rPr>
      <w:tblPr/>
      <w:tcPr>
        <w:tcBorders>
          <w:tl2br w:val="none" w:sz="0" w:space="0" w:color="auto"/>
          <w:tr2bl w:val="none" w:sz="0" w:space="0" w:color="auto"/>
        </w:tcBorders>
        <w:shd w:val="clear" w:color="auto" w:fill="CCC0D9" w:themeFill="accent4" w:themeFillTint="66"/>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FFFFFF" w:themeFill="background1"/>
      </w:tcPr>
    </w:tblStylePr>
    <w:tblStylePr w:type="lastCol">
      <w:rPr>
        <w:b/>
        <w:bCs/>
      </w:rPr>
      <w:tblPr/>
      <w:tcPr>
        <w:tcBorders>
          <w:tl2br w:val="none" w:sz="0" w:space="0" w:color="auto"/>
          <w:tr2bl w:val="none" w:sz="0" w:space="0" w:color="auto"/>
        </w:tcBorders>
      </w:tcPr>
    </w:tblStylePr>
  </w:style>
  <w:style w:type="table" w:customStyle="1" w:styleId="Style5">
    <w:name w:val="Style5"/>
    <w:basedOn w:val="TableNormal"/>
    <w:uiPriority w:val="99"/>
    <w:rsid w:val="001F6696"/>
    <w:rPr>
      <w:rFonts w:ascii="Arial" w:hAnsi="Arial" w:cs="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CCC0D9" w:themeFill="accent4" w:themeFillTint="66"/>
      </w:tcPr>
    </w:tblStylePr>
  </w:style>
  <w:style w:type="table" w:styleId="TableGrid2">
    <w:name w:val="Table Grid 2"/>
    <w:basedOn w:val="TableNormal"/>
    <w:uiPriority w:val="99"/>
    <w:semiHidden/>
    <w:unhideWhenUsed/>
    <w:rsid w:val="001F669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3948">
      <w:bodyDiv w:val="1"/>
      <w:marLeft w:val="0"/>
      <w:marRight w:val="0"/>
      <w:marTop w:val="0"/>
      <w:marBottom w:val="0"/>
      <w:divBdr>
        <w:top w:val="none" w:sz="0" w:space="0" w:color="auto"/>
        <w:left w:val="none" w:sz="0" w:space="0" w:color="auto"/>
        <w:bottom w:val="none" w:sz="0" w:space="0" w:color="auto"/>
        <w:right w:val="none" w:sz="0" w:space="0" w:color="auto"/>
      </w:divBdr>
    </w:div>
    <w:div w:id="444543760">
      <w:bodyDiv w:val="1"/>
      <w:marLeft w:val="0"/>
      <w:marRight w:val="0"/>
      <w:marTop w:val="0"/>
      <w:marBottom w:val="0"/>
      <w:divBdr>
        <w:top w:val="none" w:sz="0" w:space="0" w:color="auto"/>
        <w:left w:val="none" w:sz="0" w:space="0" w:color="auto"/>
        <w:bottom w:val="none" w:sz="0" w:space="0" w:color="auto"/>
        <w:right w:val="none" w:sz="0" w:space="0" w:color="auto"/>
      </w:divBdr>
    </w:div>
    <w:div w:id="635064194">
      <w:bodyDiv w:val="1"/>
      <w:marLeft w:val="0"/>
      <w:marRight w:val="0"/>
      <w:marTop w:val="0"/>
      <w:marBottom w:val="0"/>
      <w:divBdr>
        <w:top w:val="none" w:sz="0" w:space="0" w:color="auto"/>
        <w:left w:val="none" w:sz="0" w:space="0" w:color="auto"/>
        <w:bottom w:val="none" w:sz="0" w:space="0" w:color="auto"/>
        <w:right w:val="none" w:sz="0" w:space="0" w:color="auto"/>
      </w:divBdr>
    </w:div>
    <w:div w:id="950475654">
      <w:bodyDiv w:val="1"/>
      <w:marLeft w:val="0"/>
      <w:marRight w:val="0"/>
      <w:marTop w:val="0"/>
      <w:marBottom w:val="0"/>
      <w:divBdr>
        <w:top w:val="none" w:sz="0" w:space="0" w:color="auto"/>
        <w:left w:val="none" w:sz="0" w:space="0" w:color="auto"/>
        <w:bottom w:val="none" w:sz="0" w:space="0" w:color="auto"/>
        <w:right w:val="none" w:sz="0" w:space="0" w:color="auto"/>
      </w:divBdr>
    </w:div>
    <w:div w:id="1224028526">
      <w:bodyDiv w:val="1"/>
      <w:marLeft w:val="0"/>
      <w:marRight w:val="0"/>
      <w:marTop w:val="0"/>
      <w:marBottom w:val="0"/>
      <w:divBdr>
        <w:top w:val="none" w:sz="0" w:space="0" w:color="auto"/>
        <w:left w:val="none" w:sz="0" w:space="0" w:color="auto"/>
        <w:bottom w:val="none" w:sz="0" w:space="0" w:color="auto"/>
        <w:right w:val="none" w:sz="0" w:space="0" w:color="auto"/>
      </w:divBdr>
    </w:div>
    <w:div w:id="1303000684">
      <w:bodyDiv w:val="1"/>
      <w:marLeft w:val="0"/>
      <w:marRight w:val="0"/>
      <w:marTop w:val="0"/>
      <w:marBottom w:val="0"/>
      <w:divBdr>
        <w:top w:val="none" w:sz="0" w:space="0" w:color="auto"/>
        <w:left w:val="none" w:sz="0" w:space="0" w:color="auto"/>
        <w:bottom w:val="none" w:sz="0" w:space="0" w:color="auto"/>
        <w:right w:val="none" w:sz="0" w:space="0" w:color="auto"/>
      </w:divBdr>
    </w:div>
    <w:div w:id="1436486306">
      <w:bodyDiv w:val="1"/>
      <w:marLeft w:val="0"/>
      <w:marRight w:val="0"/>
      <w:marTop w:val="0"/>
      <w:marBottom w:val="0"/>
      <w:divBdr>
        <w:top w:val="none" w:sz="0" w:space="0" w:color="auto"/>
        <w:left w:val="none" w:sz="0" w:space="0" w:color="auto"/>
        <w:bottom w:val="none" w:sz="0" w:space="0" w:color="auto"/>
        <w:right w:val="none" w:sz="0" w:space="0" w:color="auto"/>
      </w:divBdr>
    </w:div>
    <w:div w:id="17033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gov.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gov.uk/government/publications/multi-agency-public-protection-arrangements-review"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gov.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3C4EB9A5889C489402C0FA5BF7CE5E" ma:contentTypeVersion="13" ma:contentTypeDescription="Create a new document." ma:contentTypeScope="" ma:versionID="ed12a52235e774733e707687c5763c79">
  <xsd:schema xmlns:xsd="http://www.w3.org/2001/XMLSchema" xmlns:xs="http://www.w3.org/2001/XMLSchema" xmlns:p="http://schemas.microsoft.com/office/2006/metadata/properties" xmlns:ns2="a70322e1-a38b-42c5-8c13-fe2a0eec7b33" xmlns:ns3="df47f593-3511-4cc3-ad96-2f2ab4207d77" xmlns:ns4="92b268e8-0d07-416c-b449-c0d215745eef" targetNamespace="http://schemas.microsoft.com/office/2006/metadata/properties" ma:root="true" ma:fieldsID="99a920f641c7c90b0df5943584c719cc" ns2:_="" ns3:_="" ns4:_="">
    <xsd:import namespace="a70322e1-a38b-42c5-8c13-fe2a0eec7b33"/>
    <xsd:import namespace="df47f593-3511-4cc3-ad96-2f2ab4207d77"/>
    <xsd:import namespace="92b268e8-0d07-416c-b449-c0d215745eef"/>
    <xsd:element name="properties">
      <xsd:complexType>
        <xsd:sequence>
          <xsd:element name="documentManagement">
            <xsd:complexType>
              <xsd:all>
                <xsd:element ref="ns2:SharedWithUsers" minOccurs="0"/>
                <xsd:element ref="ns2:SharedWithDetails" minOccurs="0"/>
                <xsd:element ref="ns3:MediaServiceKeyPoints" minOccurs="0"/>
                <xsd:element ref="ns3:MediaLengthInSecond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OCR"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22e1-a38b-42c5-8c13-fe2a0eec7b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47f593-3511-4cc3-ad96-2f2ab4207d77" elementFormDefault="qualified">
    <xsd:import namespace="http://schemas.microsoft.com/office/2006/documentManagement/types"/>
    <xsd:import namespace="http://schemas.microsoft.com/office/infopath/2007/PartnerControls"/>
    <xsd:element name="MediaServiceKeyPoints" ma:index="10" nillable="true" ma:displayName="KeyPoints" ma:internalName="MediaServiceKeyPoints" ma:readOnly="true">
      <xsd:simpleType>
        <xsd:restriction base="dms:Note">
          <xsd:maxLength value="255"/>
        </xsd:restriction>
      </xsd:simpleType>
    </xsd:element>
    <xsd:element name="MediaLengthInSeconds" ma:index="1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b268e8-0d07-416c-b449-c0d215745ee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429589-DB63-499D-B0B8-7EB94954A2D7}">
  <ds:schemaRefs>
    <ds:schemaRef ds:uri="http://schemas.openxmlformats.org/officeDocument/2006/bibliography"/>
  </ds:schemaRefs>
</ds:datastoreItem>
</file>

<file path=customXml/itemProps2.xml><?xml version="1.0" encoding="utf-8"?>
<ds:datastoreItem xmlns:ds="http://schemas.openxmlformats.org/officeDocument/2006/customXml" ds:itemID="{6F0EA075-0981-4F4B-964D-11682D98C0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BF0DC7-C5A4-402D-8BC8-FFAF0B8E0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22e1-a38b-42c5-8c13-fe2a0eec7b33"/>
    <ds:schemaRef ds:uri="df47f593-3511-4cc3-ad96-2f2ab4207d77"/>
    <ds:schemaRef ds:uri="92b268e8-0d07-416c-b449-c0d215745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15514D-FC56-4E5D-9548-BB0A45C582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2899</Words>
  <Characters>15778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2023-10-13T11:34:00Z</dcterms:created>
  <dcterms:modified xsi:type="dcterms:W3CDTF">2023-10-23T11:24:00Z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0x010100603C4EB9A5889C489402C0FA5BF7CE5E</vt:lpwstr>
  </property>
</Properties>
</file>